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1fa4" w14:textId="878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2018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утвержденный Решением Совета Евразийской экономической комиссии от 20 декабря 2017 г. № 109, дополнить пунктом следующего содержания: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Морское пассажирское судно (код 8901 10 100 9 ТН ВЭД ЕАЭС), зафрахтованное ФГУП "Росморпорт", при условии его использования в качестве плавучей гостиницы для проживания участников, гостей, персонала и других клиентских групп в период проведения IV Восточного экономического форума 2018 г. в г. Владивосток.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указанного морского пассажирского судна – до 30 сентября 2018 г. включительно.".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его официального опубликования и распространяется на правоотношения, возникшие с момента помещения под таможенную процедуру временного ввоза (допуска) морского пассажирского судна, указанного в пункте 1 настоящего Решения.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 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