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b5e" w14:textId="3329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системы надлежащей лабораторной практики в Евразийском экономическом союзе, соответствующей принципам надлежащей лабораторной практики Организации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июня 2018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до 1 января 2020 г. проекта концепции развития системы надлежащей лабораторной практики в Евразийском экономическом союзе, соответствующей принципам надлежащей лабораторной практики Организации экономического сотрудничества и развития, а также предложений по внесению изменений в международные договоры в рамках Евразийского экономического союза и акты органов Евразийского экономического союза: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создать рабочую группу по вопросам создания и развития системы надлежащей лабораторной практики в Евразийском экономическом союзе (далее – рабочая группа) и утвердить ее состав.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Евразийского экономического союза представить в Евразийскую экономическую комиссию кандидатуры для включения в состав рабочей группы, а также информацию о состоянии системы надлежащей лабораторной практики в соответствующем государстве (о принятых нормативных правовых актах, уполномоченных органах, осуществляющих регулирование в указанной сфере, наличии лабораторий, соответствующих принципам надлежащей лабораторной практики (с указанием сферы деятельности), или планов по созданию таких лабораторий).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