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1a9c" w14:textId="1951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взаимодействии органов государственного контроля (надзора) государств – членов Евразийского экономического союза при проведении мероприятий по государственному контролю (надзору) за соблюдением требований технических регламентов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19 июня 2018 года № 9</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целях предотвращения выпуска в обращение и обращения на таможенной территории Евразийского экономического союза (далее – Союз) продукции, не соответствующей требованиям технических регламентов Союза, а также обеспечения взаимодействия органов государственного контроля (надзора) государств – членов Союза при проведении мероприятий по государственному контролю (надзору) за соблюдением требований технических регламентов Союза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Союза с даты опубликования настоящей Рекомендации на официальном сайте Союза при проведении мероприятий по государственному контролю (надзору) за соблюдением требований технических регламентов Союза руководствоваться Порядком согласно приложению. </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19 июня 2018 г. № 9 </w:t>
            </w:r>
          </w:p>
        </w:tc>
      </w:tr>
    </w:tbl>
    <w:bookmarkStart w:name="z8" w:id="2"/>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взаимодействия органов государственного контроля (надзора) государств – членов Евразийского экономического союза при проведении мероприятий по государственному контролю (надзору) за соблюдением требований технических регламентов Евразийского экономического союза </w:t>
      </w:r>
    </w:p>
    <w:bookmarkEnd w:id="2"/>
    <w:bookmarkStart w:name="z9" w:id="3"/>
    <w:p>
      <w:pPr>
        <w:spacing w:after="0"/>
        <w:ind w:left="0"/>
        <w:jc w:val="both"/>
      </w:pPr>
      <w:r>
        <w:rPr>
          <w:rFonts w:ascii="Times New Roman"/>
          <w:b w:val="false"/>
          <w:i w:val="false"/>
          <w:color w:val="000000"/>
          <w:sz w:val="28"/>
        </w:rPr>
        <w:t xml:space="preserve">
      1. Государственный контроль (надзор) за соблюдением требований технических регламентов, входящих в право Евразийского экономического союза (далее соответственно – технические регламенты, Союз), осуществляется органами государственного контроля (надзора) государств – членов Союза (далее соответственно – государства-члены, органы государственного контроля (надзора)). </w:t>
      </w:r>
    </w:p>
    <w:bookmarkEnd w:id="3"/>
    <w:bookmarkStart w:name="z10" w:id="4"/>
    <w:p>
      <w:pPr>
        <w:spacing w:after="0"/>
        <w:ind w:left="0"/>
        <w:jc w:val="both"/>
      </w:pPr>
      <w:r>
        <w:rPr>
          <w:rFonts w:ascii="Times New Roman"/>
          <w:b w:val="false"/>
          <w:i w:val="false"/>
          <w:color w:val="000000"/>
          <w:sz w:val="28"/>
        </w:rPr>
        <w:t xml:space="preserve">
      Органы государственного контроля (надзора) осуществляют организацию и проведение мероприятий по государственному контролю (надзору), в том числе проверок юридических лиц и физических лиц, зарегистрированных в качестве индивидуальных предпринимателей (далее – индивидуальные предприниматели), принимают предусмотренные законодательством государств-членов меры по пресечению и (или) устранению последствий выявленных нарушений, а также взаимодействуют в целях предупреждения, выявления и пресечения выпуска в обращение и обращения на таможенной территории Союза продукции, не соответствующей требованиям технических регламентов. </w:t>
      </w:r>
    </w:p>
    <w:bookmarkEnd w:id="4"/>
    <w:bookmarkStart w:name="z11" w:id="5"/>
    <w:p>
      <w:pPr>
        <w:spacing w:after="0"/>
        <w:ind w:left="0"/>
        <w:jc w:val="both"/>
      </w:pPr>
      <w:r>
        <w:rPr>
          <w:rFonts w:ascii="Times New Roman"/>
          <w:b w:val="false"/>
          <w:i w:val="false"/>
          <w:color w:val="000000"/>
          <w:sz w:val="28"/>
        </w:rPr>
        <w:t xml:space="preserve">
      Информация об органах государственного контроля (надзора) размещается на официальном сайте Союза в разделе Департамента технического регулирования и аккредитации Евразийской экономической комиссии (далее – Комиссия) (http://www.eurasiancommission.org/ru/act/texnreg/deptexreg/Pages/default.aspx). </w:t>
      </w:r>
    </w:p>
    <w:bookmarkEnd w:id="5"/>
    <w:bookmarkStart w:name="z12" w:id="6"/>
    <w:p>
      <w:pPr>
        <w:spacing w:after="0"/>
        <w:ind w:left="0"/>
        <w:jc w:val="both"/>
      </w:pPr>
      <w:r>
        <w:rPr>
          <w:rFonts w:ascii="Times New Roman"/>
          <w:b w:val="false"/>
          <w:i w:val="false"/>
          <w:color w:val="000000"/>
          <w:sz w:val="28"/>
        </w:rPr>
        <w:t xml:space="preserve">
      2. Органы государственного контроля (надзора) при выявлении на территории государства-члена продукции, не соответствующей требованиям технических регламентов, принимают необходимые меры, предусмотренные законодательством государства-члена. </w:t>
      </w:r>
    </w:p>
    <w:bookmarkEnd w:id="6"/>
    <w:bookmarkStart w:name="z13" w:id="7"/>
    <w:p>
      <w:pPr>
        <w:spacing w:after="0"/>
        <w:ind w:left="0"/>
        <w:jc w:val="both"/>
      </w:pPr>
      <w:r>
        <w:rPr>
          <w:rFonts w:ascii="Times New Roman"/>
          <w:b w:val="false"/>
          <w:i w:val="false"/>
          <w:color w:val="000000"/>
          <w:sz w:val="28"/>
        </w:rPr>
        <w:t>
      О принятых мерах органы государственного контроля (надзора) информируют соответствующие органы государственного контроля (надзора) других государств-членов в случаях, предусмотренных алгоритмом типовых действий органа государственного контроля (надзора) при выявлении продукции, не соответствующей требованиям технических регламентов, согласно приложению № 1.</w:t>
      </w:r>
    </w:p>
    <w:bookmarkEnd w:id="7"/>
    <w:bookmarkStart w:name="z14" w:id="8"/>
    <w:p>
      <w:pPr>
        <w:spacing w:after="0"/>
        <w:ind w:left="0"/>
        <w:jc w:val="both"/>
      </w:pPr>
      <w:r>
        <w:rPr>
          <w:rFonts w:ascii="Times New Roman"/>
          <w:b w:val="false"/>
          <w:i w:val="false"/>
          <w:color w:val="000000"/>
          <w:sz w:val="28"/>
        </w:rPr>
        <w:t xml:space="preserve">
      3. О фактах выявления продукции, не соответствующей требованиям технических регламентов, и принятых мерах, предусмотренных пунктом 2 настоящего Порядка, органы государственного контроля (надзора) информируют органы государственного контроля (надзора) других государств-членов и при необходимости Комиссию посредством направления уведомления по форме согласно приложению № 2 (далее – уведомление). </w:t>
      </w:r>
    </w:p>
    <w:bookmarkEnd w:id="8"/>
    <w:bookmarkStart w:name="z15" w:id="9"/>
    <w:p>
      <w:pPr>
        <w:spacing w:after="0"/>
        <w:ind w:left="0"/>
        <w:jc w:val="both"/>
      </w:pPr>
      <w:r>
        <w:rPr>
          <w:rFonts w:ascii="Times New Roman"/>
          <w:b w:val="false"/>
          <w:i w:val="false"/>
          <w:color w:val="000000"/>
          <w:sz w:val="28"/>
        </w:rPr>
        <w:t>
      4. Уведомление направляется органом государственного контроля (надзора) государства-члена, на территории которого выявлена продукция, не соответствующая требованиям технических регламентов, в органы государственного контроля (надзора) других государств-членов и Комиссию (на бумажном носителе и (или) в электронном виде, в том числе посредством информационно-телекоммуникационной сети "Интернет" (далее – сеть Интернет)) в течение 7 рабочих дней с даты оформления таким органом решения о выявлении фактов нарушения и принятии мер, предусмотренных законодательством государства-члена.</w:t>
      </w:r>
    </w:p>
    <w:bookmarkEnd w:id="9"/>
    <w:bookmarkStart w:name="z16" w:id="10"/>
    <w:p>
      <w:pPr>
        <w:spacing w:after="0"/>
        <w:ind w:left="0"/>
        <w:jc w:val="both"/>
      </w:pPr>
      <w:r>
        <w:rPr>
          <w:rFonts w:ascii="Times New Roman"/>
          <w:b w:val="false"/>
          <w:i w:val="false"/>
          <w:color w:val="000000"/>
          <w:sz w:val="28"/>
        </w:rPr>
        <w:t>
      В случае если в государстве-члене на осуществление государственного контроля (надзора) за соблюдением требований технического регламента уполномочено несколько органов, уведомление направляется в те органы государственного контроля (надзора), к сфере ведения которых отнесены соответствующий вид продукции и (или) вопросы ее жизненного цикла и информация о которых размещена на официальном сайте Союза в соответствии с пунктом 1 настоящего Порядка.</w:t>
      </w:r>
    </w:p>
    <w:bookmarkEnd w:id="10"/>
    <w:bookmarkStart w:name="z17" w:id="11"/>
    <w:p>
      <w:pPr>
        <w:spacing w:after="0"/>
        <w:ind w:left="0"/>
        <w:jc w:val="both"/>
      </w:pPr>
      <w:r>
        <w:rPr>
          <w:rFonts w:ascii="Times New Roman"/>
          <w:b w:val="false"/>
          <w:i w:val="false"/>
          <w:color w:val="000000"/>
          <w:sz w:val="28"/>
        </w:rPr>
        <w:t xml:space="preserve">
      5. Уведомление содержит следующие сведения: </w:t>
      </w:r>
    </w:p>
    <w:bookmarkEnd w:id="11"/>
    <w:bookmarkStart w:name="z18" w:id="12"/>
    <w:p>
      <w:pPr>
        <w:spacing w:after="0"/>
        <w:ind w:left="0"/>
        <w:jc w:val="both"/>
      </w:pPr>
      <w:r>
        <w:rPr>
          <w:rFonts w:ascii="Times New Roman"/>
          <w:b w:val="false"/>
          <w:i w:val="false"/>
          <w:color w:val="000000"/>
          <w:sz w:val="28"/>
        </w:rPr>
        <w:t>
      а) полное наименование органа государственного контроля (надзора), выявившего продукцию, не соответствующую требованиям технических регламентов;</w:t>
      </w:r>
    </w:p>
    <w:bookmarkEnd w:id="12"/>
    <w:bookmarkStart w:name="z19" w:id="13"/>
    <w:p>
      <w:pPr>
        <w:spacing w:after="0"/>
        <w:ind w:left="0"/>
        <w:jc w:val="both"/>
      </w:pPr>
      <w:r>
        <w:rPr>
          <w:rFonts w:ascii="Times New Roman"/>
          <w:b w:val="false"/>
          <w:i w:val="false"/>
          <w:color w:val="000000"/>
          <w:sz w:val="28"/>
        </w:rPr>
        <w:t>
      б) дата выявления продукции, не соответствующей требованиям технических регламентов, и полное наименование юридического лица или фамилия, имя, отчество (при наличии) индивидуального предпринимателя, у которых выявлена такая продукция, место нахождения (адрес юридического лица) и адрес (адреса) места осуществления деятельности юридического лица (в случае, если адреса различаются), место жительства и адрес (адреса) места осуществления деятельности индивидуального предпринимателя (в случае, если адреса различаются);</w:t>
      </w:r>
    </w:p>
    <w:bookmarkEnd w:id="13"/>
    <w:bookmarkStart w:name="z20" w:id="14"/>
    <w:p>
      <w:pPr>
        <w:spacing w:after="0"/>
        <w:ind w:left="0"/>
        <w:jc w:val="both"/>
      </w:pPr>
      <w:r>
        <w:rPr>
          <w:rFonts w:ascii="Times New Roman"/>
          <w:b w:val="false"/>
          <w:i w:val="false"/>
          <w:color w:val="000000"/>
          <w:sz w:val="28"/>
        </w:rPr>
        <w:t xml:space="preserve">
      в) сведения о товаросопроводительных документах (договорах поставки, товарных накладных, счетах-фактурах и иных документах, содержащих информацию о продукции), позволяющих определить поставщиков и приобретателей такой продукции; </w:t>
      </w:r>
    </w:p>
    <w:bookmarkEnd w:id="14"/>
    <w:bookmarkStart w:name="z21" w:id="15"/>
    <w:p>
      <w:pPr>
        <w:spacing w:after="0"/>
        <w:ind w:left="0"/>
        <w:jc w:val="both"/>
      </w:pPr>
      <w:r>
        <w:rPr>
          <w:rFonts w:ascii="Times New Roman"/>
          <w:b w:val="false"/>
          <w:i w:val="false"/>
          <w:color w:val="000000"/>
          <w:sz w:val="28"/>
        </w:rPr>
        <w:t>
      г) наименование и обозначение продукции, ее название (при наличии) и иные сведения о продукции, обеспечивающие ее идентификацию (с указанием выявленных нарушений требований технических регламентов (подпункт, пункт, часть, статья));</w:t>
      </w:r>
    </w:p>
    <w:bookmarkEnd w:id="15"/>
    <w:bookmarkStart w:name="z22" w:id="16"/>
    <w:p>
      <w:pPr>
        <w:spacing w:after="0"/>
        <w:ind w:left="0"/>
        <w:jc w:val="both"/>
      </w:pPr>
      <w:r>
        <w:rPr>
          <w:rFonts w:ascii="Times New Roman"/>
          <w:b w:val="false"/>
          <w:i w:val="false"/>
          <w:color w:val="000000"/>
          <w:sz w:val="28"/>
        </w:rPr>
        <w:t>
      д) полное наименование изготовителя (уполномоченного изготовителем лица, импортера) продукции, которое указано в маркировке продукции и документах об оценке соответствия продукции требованиям технических регламентов,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отчество (при наличии), место жительства и адрес (адреса) места осуществления деятельности (в случае, если адреса различаются) – для индивидуального предпринимателя;</w:t>
      </w:r>
    </w:p>
    <w:bookmarkEnd w:id="16"/>
    <w:bookmarkStart w:name="z23" w:id="17"/>
    <w:p>
      <w:pPr>
        <w:spacing w:after="0"/>
        <w:ind w:left="0"/>
        <w:jc w:val="both"/>
      </w:pPr>
      <w:r>
        <w:rPr>
          <w:rFonts w:ascii="Times New Roman"/>
          <w:b w:val="false"/>
          <w:i w:val="false"/>
          <w:color w:val="000000"/>
          <w:sz w:val="28"/>
        </w:rPr>
        <w:t>
      е) регистрационный номер и срок действия документа об оценке соответствия продукции требованиям технических регламентов;</w:t>
      </w:r>
    </w:p>
    <w:bookmarkEnd w:id="17"/>
    <w:bookmarkStart w:name="z24" w:id="18"/>
    <w:p>
      <w:pPr>
        <w:spacing w:after="0"/>
        <w:ind w:left="0"/>
        <w:jc w:val="both"/>
      </w:pPr>
      <w:r>
        <w:rPr>
          <w:rFonts w:ascii="Times New Roman"/>
          <w:b w:val="false"/>
          <w:i w:val="false"/>
          <w:color w:val="000000"/>
          <w:sz w:val="28"/>
        </w:rPr>
        <w:t xml:space="preserve">
      ж) информация о мерах, принятых органом государственного контроля (надзора) в отношении продукции в связи с выявлением фактов нарушений (с приложением копий документов, предусмотренных законодательством государства-члена, в том числе копий протоколов исследований (испытаний) продукции, а также копий иных документов, послуживших основанием для принятия таких мер). </w:t>
      </w:r>
    </w:p>
    <w:bookmarkEnd w:id="18"/>
    <w:bookmarkStart w:name="z25" w:id="19"/>
    <w:p>
      <w:pPr>
        <w:spacing w:after="0"/>
        <w:ind w:left="0"/>
        <w:jc w:val="both"/>
      </w:pPr>
      <w:r>
        <w:rPr>
          <w:rFonts w:ascii="Times New Roman"/>
          <w:b w:val="false"/>
          <w:i w:val="false"/>
          <w:color w:val="000000"/>
          <w:sz w:val="28"/>
        </w:rPr>
        <w:t>
      6. Органы государственного контроля (надзора), получившие уведомление, информируют о получении уведомления орган государственного контроля (надзора), направивший уведомление, в течение 5 рабочих дней с даты получения уведомления (на бумажном носителе и (или) в электронном виде, в том числе посредством сети Интернет).</w:t>
      </w:r>
    </w:p>
    <w:bookmarkEnd w:id="19"/>
    <w:bookmarkStart w:name="z26" w:id="20"/>
    <w:p>
      <w:pPr>
        <w:spacing w:after="0"/>
        <w:ind w:left="0"/>
        <w:jc w:val="both"/>
      </w:pPr>
      <w:r>
        <w:rPr>
          <w:rFonts w:ascii="Times New Roman"/>
          <w:b w:val="false"/>
          <w:i w:val="false"/>
          <w:color w:val="000000"/>
          <w:sz w:val="28"/>
        </w:rPr>
        <w:t xml:space="preserve">
      7. Органы государственного контроля (надзора), получившие уведомление, устанавливают возможные факты выпуска в обращение и (или) обращения на территории своего государства-члена продукции, указанной в уведомлении, и в случае установления таких фактов проводят мероприятия по государственному контролю (надзору), в том числе проверки, предусмотренные законодательством государства-члена, и информируют о результатах таких мероприятий и принятых мерах орган государственного контроля (надзора), направивший уведомление, в течение 5 рабочих дней с даты завершения указанных мероприятий (на бумажном носителе и (или) в электронном виде, в том числе посредством сети Интернет). </w:t>
      </w:r>
    </w:p>
    <w:bookmarkEnd w:id="20"/>
    <w:bookmarkStart w:name="z27" w:id="21"/>
    <w:p>
      <w:pPr>
        <w:spacing w:after="0"/>
        <w:ind w:left="0"/>
        <w:jc w:val="both"/>
      </w:pPr>
      <w:r>
        <w:rPr>
          <w:rFonts w:ascii="Times New Roman"/>
          <w:b w:val="false"/>
          <w:i w:val="false"/>
          <w:color w:val="000000"/>
          <w:sz w:val="28"/>
        </w:rPr>
        <w:t>
      8. В случае получения дополнительной информации, касающейся сведений о количестве продукции, юридических лицах и индивидуальных предпринимателях, которым такая продукция была направлена для реализации на территориях других государств-членов, орган государственного контроля (надзора) государства-члена, на территории которого выявлена продукция, не соответствующая требованиям технических регламентов, безотлагательно направляет такую информацию в органы государственного контроля (надзора) других государств-членов (на бумажном носителе и (или) в электронном виде, в том числе посредством сети Интернет).</w:t>
      </w:r>
    </w:p>
    <w:bookmarkEnd w:id="21"/>
    <w:bookmarkStart w:name="z28" w:id="22"/>
    <w:p>
      <w:pPr>
        <w:spacing w:after="0"/>
        <w:ind w:left="0"/>
        <w:jc w:val="both"/>
      </w:pPr>
      <w:r>
        <w:rPr>
          <w:rFonts w:ascii="Times New Roman"/>
          <w:b w:val="false"/>
          <w:i w:val="false"/>
          <w:color w:val="000000"/>
          <w:sz w:val="28"/>
        </w:rPr>
        <w:t xml:space="preserve">
      9. В случае возникновения разногласий и споров при осуществлении взаимодействия при проведении мероприятий по государственному контролю (надзору) за соблюдением требований технических регламентов или выявлении продукции, не соответствующей требованиям технических регламентов, органами государственного контроля (надзора) проводятся взаимные консультации и переговоры.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