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7c87" w14:textId="3907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требованиях, предъявляемых к автомобильным дорогам, планируемым для включения в перечень евразийских транспортных коридоров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25 декабря 2018 года № 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27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 г. № 3,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при подготовке предложений о включении автомобильных дорог в перечень евразийских транспортных коридоров учитывать следующие требования, предъявляемые к таким дорогам: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должны являться: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дорогами общего пользования межгосударственного значения (для дорог, проходящих по территории Республики Армения);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дорогами общего пользования республиканского значения и (или) частными автомобильными дорогами общего пользования (для дорог, проходящих по территории Республики Беларусь);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дорогами общего пользования международного и республиканского значения (для дорог, проходящих по территории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дорогами общего пользования международного значения и (или) частными автомобильными дорогами (для дорог, проходящих по территории Кыргызской Республики);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дорогами общего пользования федерального значения и (или) частными автомобильными дорогами общего пользования (для дорог, проходящих по территории Российской Федерации);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дороги, а также связанные с ними процессы проектирования, строительства, реконструкции, капитального ремонта и эксплуатации и применяемые дорожно-строительные материалы и изделия должны соответствовать требованиям технического регламента Таможенного союза "Безопасность автомобильных дорог" (TP ТС 014/2011),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827;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среднего уровня загрузки автомобильных дорог, определяемого как отношение фактической интенсивности движения к проектной пропускной способности, не должно превышать 0,8;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расчетной (нормативной) нагрузки на одиночную ось при проектировании, строительстве, реконструкции, капитальном ремонте автомобильных дорог не должно быть менее 11,5 тонны (за исключением ранее реабилитированных и реконструированных автомобильных дорог с расчетной (нормативной) нагрузкой на одиночную ось менее 11,5 тонны – до истечения межремонтного срока их эксплуатации);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строящиеся и реконструируемые автомобильные дороги не должны проходить по улично-дорожной сети населенных пунктов (должны следовать в обход населенных пунктов), а участки существующих автомобильных дорог должны следовать в обход населенных пунктов (по возможности);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должны быть обустроены работающими в автоматическом режиме специальными техническими средствами, имеющими функции фото- и (или) киносъемки, видеозаписи для фиксации нарушений правил дорожного движения, сохранности автомобильных дорог в целях осуществления весового и габаритного контроля транспортных средств, а также табло переменной информации в целях информирования участников дорожного движения о дорожно-транспортной ситуации;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должны быть обеспечены такими объектами сервиса, как мотели (кемпинги), пункты общественного питания, автозаправочные станции (в том числе предоставляющие возможность осуществления заправки транспортных средств газовым моторным топливом, а также имеющие в наличии моечные пункты и предприятия торговли), станции технического обслуживания, стоянки (площадки для отдыха).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