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3509" w14:textId="5093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мерах, направленных на обеспечение свободы транзитных автомобильных перевозок грузов перевозчиками одного государства – члена Евразийского экономического союза через территории других государств-членов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25 декабря 2018 года № 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пунктом 33 плана мероприятий ("дорожной карты") по реализации Основных направлений и этапов реализации скоординированной (согласованной) транспортной политики государств – членов Евразийского экономического союза на 2018 – 2020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25 октября 2017 г. № 3,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принимать следующие меры, направленные на создание благоприятных условий для развития и эффективного использования транзитного потенциала государств-членов: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мониторинга состояния и анализа развития транзитных автомобильных перевозок грузов перевозчиками одного государства-члена через территории других государств-членов;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внедрение наилучших международных практик в целях использования географических преимуществ Евразийского экономического союза при реализации транспортно-экономических связей между Европой и Азией;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проблемных вопросов (препятствий), влияющих на осуществление транзитных автомобильных перевозок грузов перевозчиками одного государства-члена через территории других государств-членов, подготовка предложений по урегулированию таких вопросов (в том числе с учетом наилучших международных практик) и их направление в Евразийскую экономическую комиссию в целях рассмотрения при необходимости Коллегией Евразийской экономической комиссии и принятия мер по их решению.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