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20a3" w14:textId="3d32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преференциальных ставках ввозных таможенных пошлин в отношении товаров, происходящих из Исламской Республики Иран и ввозимых на таможенную территорию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22 января 2019 года № 10. Утратило силу решением Коллегии Евразийской экономической комиссии от 14 января 2025 года № 1</w:t>
      </w:r>
    </w:p>
    <w:p>
      <w:pPr>
        <w:spacing w:after="0"/>
        <w:ind w:left="0"/>
        <w:jc w:val="both"/>
      </w:pPr>
      <w:bookmarkStart w:name="z2" w:id="0"/>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14.01.2025 </w:t>
      </w:r>
      <w:r>
        <w:rPr>
          <w:rFonts w:ascii="Times New Roman"/>
          <w:b w:val="false"/>
          <w:i w:val="false"/>
          <w:color w:val="ff0000"/>
          <w:sz w:val="28"/>
        </w:rPr>
        <w:t>№ 1</w:t>
      </w:r>
      <w:r>
        <w:rPr>
          <w:rFonts w:ascii="Times New Roman"/>
          <w:b w:val="false"/>
          <w:i w:val="false"/>
          <w:color w:val="ff0000"/>
          <w:sz w:val="28"/>
        </w:rPr>
        <w:t xml:space="preserve"> (вступает в силу с даты вступления в силу Соглашения, но не ранее чем по истечении 30 календарных дней с даты официального опубликования настоящего Решения).</w:t>
      </w:r>
    </w:p>
    <w:bookmarkEnd w:id="0"/>
    <w:bookmarkStart w:name="z4" w:id="1"/>
    <w:p>
      <w:pPr>
        <w:spacing w:after="0"/>
        <w:ind w:left="0"/>
        <w:jc w:val="both"/>
      </w:pPr>
      <w:r>
        <w:rPr>
          <w:rFonts w:ascii="Times New Roman"/>
          <w:b w:val="false"/>
          <w:i w:val="false"/>
          <w:color w:val="000000"/>
          <w:sz w:val="28"/>
        </w:rPr>
        <w:t xml:space="preserve">
      В соответствии со статьями 2.3 и 2.4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1. Утвердить прилагаемый перечень 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 (далее – перечень).  </w:t>
      </w:r>
    </w:p>
    <w:bookmarkEnd w:id="2"/>
    <w:bookmarkStart w:name="z6" w:id="3"/>
    <w:p>
      <w:pPr>
        <w:spacing w:after="0"/>
        <w:ind w:left="0"/>
        <w:jc w:val="both"/>
      </w:pPr>
      <w:r>
        <w:rPr>
          <w:rFonts w:ascii="Times New Roman"/>
          <w:b w:val="false"/>
          <w:i w:val="false"/>
          <w:color w:val="000000"/>
          <w:sz w:val="28"/>
        </w:rPr>
        <w:t xml:space="preserve">
      2. Установить, что в случае, если сумма ввозных таможенных пошлин, исчисленных по ставкам Единого таможенного тарифа Евразийского экономического союза, ниже суммы ввозных таможенных пошлин, исчисленных по ставкам ввозных таможенных пошлин, указанным в перечне, применяется ставка ввозной таможенной пошлины Единого таможенного тарифа Евразийского экономического союза. </w:t>
      </w:r>
    </w:p>
    <w:bookmarkEnd w:id="3"/>
    <w:bookmarkStart w:name="z7" w:id="4"/>
    <w:p>
      <w:pPr>
        <w:spacing w:after="0"/>
        <w:ind w:left="0"/>
        <w:jc w:val="both"/>
      </w:pPr>
      <w:r>
        <w:rPr>
          <w:rFonts w:ascii="Times New Roman"/>
          <w:b w:val="false"/>
          <w:i w:val="false"/>
          <w:color w:val="000000"/>
          <w:sz w:val="28"/>
        </w:rPr>
        <w:t xml:space="preserve">
      3. Настоящее Решение вступает в силу с даты вступления в силу 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но не ранее чем по истечении 30 календарных дней с даты официального опубликования настоящего Решения.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от 22 января 2019 г. № 10</w:t>
            </w:r>
          </w:p>
        </w:tc>
      </w:tr>
    </w:tbl>
    <w:bookmarkStart w:name="z10" w:id="5"/>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w:t>
      </w:r>
    </w:p>
    <w:bookmarkEnd w:id="5"/>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25.06.2019 </w:t>
      </w:r>
      <w:r>
        <w:rPr>
          <w:rFonts w:ascii="Times New Roman"/>
          <w:b w:val="false"/>
          <w:i w:val="false"/>
          <w:color w:val="ff0000"/>
          <w:sz w:val="28"/>
        </w:rPr>
        <w:t>№ 106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18.02.2020 </w:t>
      </w:r>
      <w:r>
        <w:rPr>
          <w:rFonts w:ascii="Times New Roman"/>
          <w:b w:val="false"/>
          <w:i w:val="false"/>
          <w:color w:val="ff0000"/>
          <w:sz w:val="28"/>
        </w:rPr>
        <w:t>№ 26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01.03.2021 </w:t>
      </w:r>
      <w:r>
        <w:rPr>
          <w:rFonts w:ascii="Times New Roman"/>
          <w:b w:val="false"/>
          <w:i w:val="false"/>
          <w:color w:val="ff0000"/>
          <w:sz w:val="28"/>
        </w:rPr>
        <w:t>№ 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25.05.2021 </w:t>
      </w:r>
      <w:r>
        <w:rPr>
          <w:rFonts w:ascii="Times New Roman"/>
          <w:b w:val="false"/>
          <w:i w:val="false"/>
          <w:color w:val="ff0000"/>
          <w:sz w:val="28"/>
        </w:rPr>
        <w:t>№ 59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п.3</w:t>
      </w:r>
      <w:r>
        <w:rPr>
          <w:rFonts w:ascii="Times New Roman"/>
          <w:b w:val="false"/>
          <w:i w:val="false"/>
          <w:color w:val="ff0000"/>
          <w:sz w:val="28"/>
        </w:rPr>
        <w:t xml:space="preserve">); от 21.09.2021 </w:t>
      </w:r>
      <w:r>
        <w:rPr>
          <w:rFonts w:ascii="Times New Roman"/>
          <w:b w:val="false"/>
          <w:i w:val="false"/>
          <w:color w:val="ff0000"/>
          <w:sz w:val="28"/>
        </w:rPr>
        <w:t>№ 122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с головой и жабрами, без внутренностей, массой более 1,2 кг каждая, или без головы, жабр и внутренностей, массой более 1 кг каждая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2,5, но не менее</w:t>
            </w:r>
          </w:p>
          <w:bookmarkEnd w:id="6"/>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2,5, но не менее</w:t>
            </w:r>
          </w:p>
          <w:bookmarkEnd w:id="7"/>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лилии (</w:t>
            </w:r>
            <w:r>
              <w:rPr>
                <w:rFonts w:ascii="Times New Roman"/>
                <w:b w:val="false"/>
                <w:i/>
                <w:color w:val="000000"/>
                <w:sz w:val="20"/>
              </w:rPr>
              <w:t>Lilium</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2,5, но не менее</w:t>
            </w:r>
          </w:p>
          <w:bookmarkEnd w:id="8"/>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2,5, но не менее</w:t>
            </w:r>
          </w:p>
          <w:bookmarkEnd w:id="9"/>
          <w:p>
            <w:pPr>
              <w:spacing w:after="20"/>
              <w:ind w:left="20"/>
              <w:jc w:val="both"/>
            </w:pPr>
            <w:r>
              <w:rPr>
                <w:rFonts w:ascii="Times New Roman"/>
                <w:b w:val="false"/>
                <w:i w:val="false"/>
                <w:color w:val="000000"/>
                <w:sz w:val="20"/>
              </w:rPr>
              <w:t>
0,15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января по 31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6, но не менее</w:t>
            </w:r>
          </w:p>
          <w:bookmarkEnd w:id="10"/>
          <w:p>
            <w:pPr>
              <w:spacing w:after="20"/>
              <w:ind w:left="20"/>
              <w:jc w:val="both"/>
            </w:pPr>
            <w:r>
              <w:rPr>
                <w:rFonts w:ascii="Times New Roman"/>
                <w:b w:val="false"/>
                <w:i w:val="false"/>
                <w:color w:val="000000"/>
                <w:sz w:val="20"/>
              </w:rPr>
              <w:t>
0,032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11,3, но не менее</w:t>
            </w:r>
          </w:p>
          <w:bookmarkEnd w:id="11"/>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11,3, но не менее</w:t>
            </w:r>
          </w:p>
          <w:bookmarkEnd w:id="12"/>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11,3, но не менее</w:t>
            </w:r>
          </w:p>
          <w:bookmarkEnd w:id="13"/>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11,3, но не менее</w:t>
            </w:r>
          </w:p>
          <w:bookmarkEnd w:id="14"/>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октября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7,5, но не менее</w:t>
            </w:r>
          </w:p>
          <w:bookmarkEnd w:id="15"/>
          <w:p>
            <w:pPr>
              <w:spacing w:after="20"/>
              <w:ind w:left="20"/>
              <w:jc w:val="both"/>
            </w:pPr>
            <w:r>
              <w:rPr>
                <w:rFonts w:ascii="Times New Roman"/>
                <w:b w:val="false"/>
                <w:i w:val="false"/>
                <w:color w:val="000000"/>
                <w:sz w:val="20"/>
              </w:rPr>
              <w:t>
0,04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ноября по 20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6, но не менее</w:t>
            </w:r>
          </w:p>
          <w:bookmarkEnd w:id="16"/>
          <w:p>
            <w:pPr>
              <w:spacing w:after="20"/>
              <w:ind w:left="20"/>
              <w:jc w:val="both"/>
            </w:pPr>
            <w:r>
              <w:rPr>
                <w:rFonts w:ascii="Times New Roman"/>
                <w:b w:val="false"/>
                <w:i w:val="false"/>
                <w:color w:val="000000"/>
                <w:sz w:val="20"/>
              </w:rPr>
              <w:t>
0,032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21 декабря по 31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6, но не менее</w:t>
            </w:r>
          </w:p>
          <w:bookmarkEnd w:id="17"/>
          <w:p>
            <w:pPr>
              <w:spacing w:after="20"/>
              <w:ind w:left="20"/>
              <w:jc w:val="both"/>
            </w:pPr>
            <w:r>
              <w:rPr>
                <w:rFonts w:ascii="Times New Roman"/>
                <w:b w:val="false"/>
                <w:i w:val="false"/>
                <w:color w:val="000000"/>
                <w:sz w:val="20"/>
              </w:rPr>
              <w:t>
0,032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8"/>
          <w:p>
            <w:pPr>
              <w:spacing w:after="20"/>
              <w:ind w:left="20"/>
              <w:jc w:val="both"/>
            </w:pPr>
            <w:r>
              <w:rPr>
                <w:rFonts w:ascii="Times New Roman"/>
                <w:b w:val="false"/>
                <w:i w:val="false"/>
                <w:color w:val="000000"/>
                <w:sz w:val="20"/>
              </w:rPr>
              <w:t>
– – – прочий</w:t>
            </w:r>
          </w:p>
          <w:bookmarkEnd w:id="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капуста цветная и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белокочанная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салат-латук кочанный (салат кочанный)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9"/>
          <w:p>
            <w:pPr>
              <w:spacing w:after="20"/>
              <w:ind w:left="20"/>
              <w:jc w:val="both"/>
            </w:pPr>
            <w:r>
              <w:rPr>
                <w:rFonts w:ascii="Times New Roman"/>
                <w:b w:val="false"/>
                <w:i w:val="false"/>
                <w:color w:val="000000"/>
                <w:sz w:val="20"/>
              </w:rPr>
              <w:t>
5, но не менее</w:t>
            </w:r>
          </w:p>
          <w:bookmarkEnd w:id="19"/>
          <w:p>
            <w:pPr>
              <w:spacing w:after="20"/>
              <w:ind w:left="20"/>
              <w:jc w:val="both"/>
            </w:pPr>
            <w:r>
              <w:rPr>
                <w:rFonts w:ascii="Times New Roman"/>
                <w:b w:val="false"/>
                <w:i w:val="false"/>
                <w:color w:val="000000"/>
                <w:sz w:val="20"/>
              </w:rPr>
              <w:t>
0,027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11,3, но не менее</w:t>
            </w:r>
          </w:p>
          <w:bookmarkEnd w:id="20"/>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11,3, но не менее</w:t>
            </w:r>
          </w:p>
          <w:bookmarkEnd w:id="21"/>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11,3, но не менее</w:t>
            </w:r>
          </w:p>
          <w:bookmarkEnd w:id="22"/>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11,3, но не менее</w:t>
            </w:r>
          </w:p>
          <w:bookmarkEnd w:id="23"/>
          <w:p>
            <w:pPr>
              <w:spacing w:after="20"/>
              <w:ind w:left="20"/>
              <w:jc w:val="both"/>
            </w:pPr>
            <w:r>
              <w:rPr>
                <w:rFonts w:ascii="Times New Roman"/>
                <w:b w:val="false"/>
                <w:i w:val="false"/>
                <w:color w:val="000000"/>
                <w:sz w:val="20"/>
              </w:rPr>
              <w:t>
0,06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5, но не менее</w:t>
            </w:r>
          </w:p>
          <w:bookmarkEnd w:id="24"/>
          <w:p>
            <w:pPr>
              <w:spacing w:after="20"/>
              <w:ind w:left="20"/>
              <w:jc w:val="both"/>
            </w:pPr>
            <w:r>
              <w:rPr>
                <w:rFonts w:ascii="Times New Roman"/>
                <w:b w:val="false"/>
                <w:i w:val="false"/>
                <w:color w:val="000000"/>
                <w:sz w:val="20"/>
              </w:rPr>
              <w:t>
0,027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5, но не менее</w:t>
            </w:r>
          </w:p>
          <w:bookmarkEnd w:id="25"/>
          <w:p>
            <w:pPr>
              <w:spacing w:after="20"/>
              <w:ind w:left="20"/>
              <w:jc w:val="both"/>
            </w:pPr>
            <w:r>
              <w:rPr>
                <w:rFonts w:ascii="Times New Roman"/>
                <w:b w:val="false"/>
                <w:i w:val="false"/>
                <w:color w:val="000000"/>
                <w:sz w:val="20"/>
              </w:rPr>
              <w:t>
0,027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баклажаны (бадриджаны)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сентября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кабачки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салатные овощи, кроме салата-латука (</w:t>
            </w:r>
            <w:r>
              <w:rPr>
                <w:rFonts w:ascii="Times New Roman"/>
                <w:b w:val="false"/>
                <w:i/>
                <w:color w:val="000000"/>
                <w:sz w:val="20"/>
              </w:rPr>
              <w:t>Lactuca</w:t>
            </w:r>
            <w:r>
              <w:rPr>
                <w:rFonts w:ascii="Times New Roman"/>
                <w:b w:val="false"/>
                <w:i w:val="false"/>
                <w:color w:val="000000"/>
                <w:sz w:val="20"/>
              </w:rPr>
              <w:t xml:space="preserve"> </w:t>
            </w:r>
            <w:r>
              <w:rPr>
                <w:rFonts w:ascii="Times New Roman"/>
                <w:b w:val="false"/>
                <w:i/>
                <w:color w:val="000000"/>
                <w:sz w:val="20"/>
              </w:rPr>
              <w:t>sativa</w:t>
            </w: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цикория (</w:t>
            </w:r>
            <w:r>
              <w:rPr>
                <w:rFonts w:ascii="Times New Roman"/>
                <w:b w:val="false"/>
                <w:i/>
                <w:color w:val="000000"/>
                <w:sz w:val="20"/>
              </w:rPr>
              <w:t>Cichorium</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скорлупе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очищенные от скорлупы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 xml:space="preserve">Citrus limon, Citrus </w:t>
            </w:r>
            <w:r>
              <w:rPr>
                <w:rFonts w:ascii="Times New Roman"/>
                <w:b w:val="false"/>
                <w:i/>
                <w:color w:val="000000"/>
                <w:sz w:val="20"/>
              </w:rPr>
              <w:t>limonum</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лаймы (</w:t>
            </w:r>
            <w:r>
              <w:rPr>
                <w:rFonts w:ascii="Times New Roman"/>
                <w:b w:val="false"/>
                <w:i/>
                <w:color w:val="000000"/>
                <w:sz w:val="20"/>
              </w:rPr>
              <w:t>Citrus aurantifolia, Citrus latifolia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столовых сортов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6"/>
          <w:p>
            <w:pPr>
              <w:spacing w:after="20"/>
              <w:ind w:left="20"/>
              <w:jc w:val="both"/>
            </w:pPr>
            <w:r>
              <w:rPr>
                <w:rFonts w:ascii="Times New Roman"/>
                <w:b w:val="false"/>
                <w:i w:val="false"/>
                <w:color w:val="000000"/>
                <w:sz w:val="20"/>
              </w:rPr>
              <w:t>
8,3, но не менее</w:t>
            </w:r>
          </w:p>
          <w:bookmarkEnd w:id="26"/>
          <w:p>
            <w:pPr>
              <w:spacing w:after="20"/>
              <w:ind w:left="20"/>
              <w:jc w:val="both"/>
            </w:pPr>
            <w:r>
              <w:rPr>
                <w:rFonts w:ascii="Times New Roman"/>
                <w:b w:val="false"/>
                <w:i w:val="false"/>
                <w:color w:val="000000"/>
                <w:sz w:val="20"/>
              </w:rPr>
              <w:t>
0,042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8,3, но не менее</w:t>
            </w:r>
          </w:p>
          <w:bookmarkEnd w:id="27"/>
          <w:p>
            <w:pPr>
              <w:spacing w:after="20"/>
              <w:ind w:left="20"/>
              <w:jc w:val="both"/>
            </w:pPr>
            <w:r>
              <w:rPr>
                <w:rFonts w:ascii="Times New Roman"/>
                <w:b w:val="false"/>
                <w:i w:val="false"/>
                <w:color w:val="000000"/>
                <w:sz w:val="20"/>
              </w:rPr>
              <w:t>
0,038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8"/>
          <w:p>
            <w:pPr>
              <w:spacing w:after="20"/>
              <w:ind w:left="20"/>
              <w:jc w:val="both"/>
            </w:pPr>
            <w:r>
              <w:rPr>
                <w:rFonts w:ascii="Times New Roman"/>
                <w:b w:val="false"/>
                <w:i w:val="false"/>
                <w:color w:val="000000"/>
                <w:sz w:val="20"/>
              </w:rPr>
              <w:t>
8,3, но не менее</w:t>
            </w:r>
          </w:p>
          <w:bookmarkEnd w:id="28"/>
          <w:p>
            <w:pPr>
              <w:spacing w:after="20"/>
              <w:ind w:left="20"/>
              <w:jc w:val="both"/>
            </w:pPr>
            <w:r>
              <w:rPr>
                <w:rFonts w:ascii="Times New Roman"/>
                <w:b w:val="false"/>
                <w:i w:val="false"/>
                <w:color w:val="000000"/>
                <w:sz w:val="20"/>
              </w:rPr>
              <w:t>
0,038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8,3, но не менее</w:t>
            </w:r>
          </w:p>
          <w:bookmarkEnd w:id="29"/>
          <w:p>
            <w:pPr>
              <w:spacing w:after="20"/>
              <w:ind w:left="20"/>
              <w:jc w:val="both"/>
            </w:pPr>
            <w:r>
              <w:rPr>
                <w:rFonts w:ascii="Times New Roman"/>
                <w:b w:val="false"/>
                <w:i w:val="false"/>
                <w:color w:val="000000"/>
                <w:sz w:val="20"/>
              </w:rPr>
              <w:t>
0,038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0"/>
          <w:p>
            <w:pPr>
              <w:spacing w:after="20"/>
              <w:ind w:left="20"/>
              <w:jc w:val="both"/>
            </w:pPr>
            <w:r>
              <w:rPr>
                <w:rFonts w:ascii="Times New Roman"/>
                <w:b w:val="false"/>
                <w:i w:val="false"/>
                <w:color w:val="000000"/>
                <w:sz w:val="20"/>
              </w:rPr>
              <w:t>
8,3, но не менее</w:t>
            </w:r>
          </w:p>
          <w:bookmarkEnd w:id="30"/>
          <w:p>
            <w:pPr>
              <w:spacing w:after="20"/>
              <w:ind w:left="20"/>
              <w:jc w:val="both"/>
            </w:pPr>
            <w:r>
              <w:rPr>
                <w:rFonts w:ascii="Times New Roman"/>
                <w:b w:val="false"/>
                <w:i w:val="false"/>
                <w:color w:val="000000"/>
                <w:sz w:val="20"/>
              </w:rPr>
              <w:t>
0,038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стоимостью, </w:t>
            </w:r>
          </w:p>
          <w:p>
            <w:pPr>
              <w:spacing w:after="20"/>
              <w:ind w:left="20"/>
              <w:jc w:val="both"/>
            </w:pPr>
            <w:r>
              <w:rPr>
                <w:rFonts w:ascii="Times New Roman"/>
                <w:b w:val="false"/>
                <w:i w:val="false"/>
                <w:color w:val="000000"/>
                <w:sz w:val="20"/>
              </w:rPr>
              <w:t xml:space="preserve">превышающей 30 евро за 100 кг нетто-массы, в бочках, цистернах, </w:t>
            </w:r>
          </w:p>
          <w:p>
            <w:pPr>
              <w:spacing w:after="20"/>
              <w:ind w:left="20"/>
              <w:jc w:val="both"/>
            </w:pPr>
            <w:r>
              <w:rPr>
                <w:rFonts w:ascii="Times New Roman"/>
                <w:b w:val="false"/>
                <w:i w:val="false"/>
                <w:color w:val="000000"/>
                <w:sz w:val="20"/>
              </w:rPr>
              <w:t xml:space="preserve">флекси-танках вместимостью не менее </w:t>
            </w:r>
          </w:p>
          <w:p>
            <w:pPr>
              <w:spacing w:after="20"/>
              <w:ind w:left="20"/>
              <w:jc w:val="both"/>
            </w:pPr>
            <w:r>
              <w:rPr>
                <w:rFonts w:ascii="Times New Roman"/>
                <w:b w:val="false"/>
                <w:i w:val="false"/>
                <w:color w:val="000000"/>
                <w:sz w:val="20"/>
              </w:rPr>
              <w:t>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превышающей </w:t>
            </w:r>
          </w:p>
          <w:p>
            <w:pPr>
              <w:spacing w:after="20"/>
              <w:ind w:left="20"/>
              <w:jc w:val="both"/>
            </w:pPr>
            <w:r>
              <w:rPr>
                <w:rFonts w:ascii="Times New Roman"/>
                <w:b w:val="false"/>
                <w:i w:val="false"/>
                <w:color w:val="000000"/>
                <w:sz w:val="20"/>
              </w:rPr>
              <w:t>18 евро за 100 кг нетто-</w:t>
            </w:r>
          </w:p>
          <w:p>
            <w:pPr>
              <w:spacing w:after="20"/>
              <w:ind w:left="20"/>
              <w:jc w:val="both"/>
            </w:pPr>
            <w:r>
              <w:rPr>
                <w:rFonts w:ascii="Times New Roman"/>
                <w:b w:val="false"/>
                <w:i w:val="false"/>
                <w:color w:val="000000"/>
                <w:sz w:val="20"/>
              </w:rPr>
              <w:t xml:space="preserve">массы, в упаковках объемом </w:t>
            </w:r>
          </w:p>
          <w:p>
            <w:pPr>
              <w:spacing w:after="20"/>
              <w:ind w:left="20"/>
              <w:jc w:val="both"/>
            </w:pPr>
            <w:r>
              <w:rPr>
                <w:rFonts w:ascii="Times New Roman"/>
                <w:b w:val="false"/>
                <w:i w:val="false"/>
                <w:color w:val="000000"/>
                <w:sz w:val="20"/>
              </w:rPr>
              <w:t>не более 0,35 л,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0,042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w:t>
            </w:r>
          </w:p>
          <w:p>
            <w:pPr>
              <w:spacing w:after="20"/>
              <w:ind w:left="20"/>
              <w:jc w:val="both"/>
            </w:pPr>
            <w:r>
              <w:rPr>
                <w:rFonts w:ascii="Times New Roman"/>
                <w:b w:val="false"/>
                <w:i w:val="false"/>
                <w:color w:val="000000"/>
                <w:sz w:val="20"/>
              </w:rPr>
              <w:t xml:space="preserve">вместимостью не более </w:t>
            </w:r>
          </w:p>
          <w:p>
            <w:pPr>
              <w:spacing w:after="20"/>
              <w:ind w:left="20"/>
              <w:jc w:val="both"/>
            </w:pPr>
            <w:r>
              <w:rPr>
                <w:rFonts w:ascii="Times New Roman"/>
                <w:b w:val="false"/>
                <w:i w:val="false"/>
                <w:color w:val="000000"/>
                <w:sz w:val="20"/>
              </w:rPr>
              <w:t>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концентрированный, стоимостью, превышающей </w:t>
            </w:r>
          </w:p>
          <w:p>
            <w:pPr>
              <w:spacing w:after="20"/>
              <w:ind w:left="20"/>
              <w:jc w:val="both"/>
            </w:pPr>
            <w:r>
              <w:rPr>
                <w:rFonts w:ascii="Times New Roman"/>
                <w:b w:val="false"/>
                <w:i w:val="false"/>
                <w:color w:val="000000"/>
                <w:sz w:val="20"/>
              </w:rPr>
              <w:t>30 евро за 100 кг нетто-</w:t>
            </w:r>
          </w:p>
          <w:p>
            <w:pPr>
              <w:spacing w:after="20"/>
              <w:ind w:left="20"/>
              <w:jc w:val="both"/>
            </w:pPr>
            <w:r>
              <w:rPr>
                <w:rFonts w:ascii="Times New Roman"/>
                <w:b w:val="false"/>
                <w:i w:val="false"/>
                <w:color w:val="000000"/>
                <w:sz w:val="20"/>
              </w:rPr>
              <w:t>массы, в бочках, цистернах, флекси-танках вместимостью не более 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но не менее </w:t>
            </w:r>
          </w:p>
          <w:p>
            <w:pPr>
              <w:spacing w:after="20"/>
              <w:ind w:left="20"/>
              <w:jc w:val="both"/>
            </w:pPr>
            <w:r>
              <w:rPr>
                <w:rFonts w:ascii="Times New Roman"/>
                <w:b w:val="false"/>
                <w:i w:val="false"/>
                <w:color w:val="000000"/>
                <w:sz w:val="20"/>
              </w:rPr>
              <w:t>0,03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стоимостью, не </w:t>
            </w:r>
          </w:p>
          <w:p>
            <w:pPr>
              <w:spacing w:after="20"/>
              <w:ind w:left="20"/>
              <w:jc w:val="both"/>
            </w:pPr>
            <w:r>
              <w:rPr>
                <w:rFonts w:ascii="Times New Roman"/>
                <w:b w:val="false"/>
                <w:i w:val="false"/>
                <w:color w:val="000000"/>
                <w:sz w:val="20"/>
              </w:rPr>
              <w:t xml:space="preserve">превышающей 22 евро за </w:t>
            </w:r>
          </w:p>
          <w:p>
            <w:pPr>
              <w:spacing w:after="20"/>
              <w:ind w:left="20"/>
              <w:jc w:val="both"/>
            </w:pPr>
            <w:r>
              <w:rPr>
                <w:rFonts w:ascii="Times New Roman"/>
                <w:b w:val="false"/>
                <w:i w:val="false"/>
                <w:color w:val="000000"/>
                <w:sz w:val="20"/>
              </w:rPr>
              <w:t>100 кг нетто-массы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0,042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w:t>
            </w:r>
          </w:p>
          <w:p>
            <w:pPr>
              <w:spacing w:after="20"/>
              <w:ind w:left="20"/>
              <w:jc w:val="both"/>
            </w:pPr>
            <w:r>
              <w:rPr>
                <w:rFonts w:ascii="Times New Roman"/>
                <w:b w:val="false"/>
                <w:i w:val="false"/>
                <w:color w:val="000000"/>
                <w:sz w:val="20"/>
              </w:rPr>
              <w:t>вместимостью более 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w:t>
            </w:r>
          </w:p>
          <w:p>
            <w:pPr>
              <w:spacing w:after="20"/>
              <w:ind w:left="20"/>
              <w:jc w:val="both"/>
            </w:pPr>
            <w:r>
              <w:rPr>
                <w:rFonts w:ascii="Times New Roman"/>
                <w:b w:val="false"/>
                <w:i w:val="false"/>
                <w:color w:val="000000"/>
                <w:sz w:val="20"/>
              </w:rPr>
              <w:t xml:space="preserve">вместимостью не более </w:t>
            </w:r>
          </w:p>
          <w:p>
            <w:pPr>
              <w:spacing w:after="20"/>
              <w:ind w:left="20"/>
              <w:jc w:val="both"/>
            </w:pPr>
            <w:r>
              <w:rPr>
                <w:rFonts w:ascii="Times New Roman"/>
                <w:b w:val="false"/>
                <w:i w:val="false"/>
                <w:color w:val="000000"/>
                <w:sz w:val="20"/>
              </w:rPr>
              <w:t>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 не мене 0,038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концентрированный, стоимостью, превышающей 30 евро за 100 кг нетто-массы, в бочках, цистернах, флекси-танках </w:t>
            </w:r>
          </w:p>
          <w:p>
            <w:pPr>
              <w:spacing w:after="20"/>
              <w:ind w:left="20"/>
              <w:jc w:val="both"/>
            </w:pPr>
            <w:r>
              <w:rPr>
                <w:rFonts w:ascii="Times New Roman"/>
                <w:b w:val="false"/>
                <w:i w:val="false"/>
                <w:color w:val="000000"/>
                <w:sz w:val="20"/>
              </w:rPr>
              <w:t xml:space="preserve">вместимостью не менее </w:t>
            </w:r>
          </w:p>
          <w:p>
            <w:pPr>
              <w:spacing w:after="20"/>
              <w:ind w:left="20"/>
              <w:jc w:val="both"/>
            </w:pPr>
            <w:r>
              <w:rPr>
                <w:rFonts w:ascii="Times New Roman"/>
                <w:b w:val="false"/>
                <w:i w:val="false"/>
                <w:color w:val="000000"/>
                <w:sz w:val="20"/>
              </w:rPr>
              <w:t>40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0,035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но не менее 0,045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но не менее 0,049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 не менее 0,028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0,023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0,023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0,023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 не менее 0,023 евро за 1 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вода морская и солевые растворы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 вяжущие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полевой шпат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w:t>
            </w:r>
          </w:p>
          <w:p>
            <w:pPr>
              <w:spacing w:after="20"/>
              <w:ind w:left="20"/>
              <w:jc w:val="both"/>
            </w:pPr>
            <w:r>
              <w:rPr>
                <w:rFonts w:ascii="Times New Roman"/>
                <w:b w:val="false"/>
                <w:i w:val="false"/>
                <w:color w:val="000000"/>
                <w:sz w:val="20"/>
              </w:rPr>
              <w:t xml:space="preserve">указанных в подсубпозиции </w:t>
            </w:r>
          </w:p>
          <w:p>
            <w:pPr>
              <w:spacing w:after="20"/>
              <w:ind w:left="20"/>
              <w:jc w:val="both"/>
            </w:pPr>
            <w:r>
              <w:rPr>
                <w:rFonts w:ascii="Times New Roman"/>
                <w:b w:val="false"/>
                <w:i w:val="false"/>
                <w:color w:val="000000"/>
                <w:sz w:val="20"/>
              </w:rPr>
              <w:t>2710 19 110 0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топливо для реактивных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w:t>
            </w:r>
          </w:p>
          <w:p>
            <w:pPr>
              <w:spacing w:after="20"/>
              <w:ind w:left="20"/>
              <w:jc w:val="both"/>
            </w:pPr>
            <w:r>
              <w:rPr>
                <w:rFonts w:ascii="Times New Roman"/>
                <w:b w:val="false"/>
                <w:i w:val="false"/>
                <w:color w:val="000000"/>
                <w:sz w:val="20"/>
              </w:rPr>
              <w:t>2710 19 310 0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летнее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зимнее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арктическое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межсезонное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судовое топливо с температурой вспышки </w:t>
            </w:r>
          </w:p>
          <w:p>
            <w:pPr>
              <w:spacing w:after="20"/>
              <w:ind w:left="20"/>
              <w:jc w:val="both"/>
            </w:pPr>
            <w:r>
              <w:rPr>
                <w:rFonts w:ascii="Times New Roman"/>
                <w:b w:val="false"/>
                <w:i w:val="false"/>
                <w:color w:val="000000"/>
                <w:sz w:val="20"/>
              </w:rPr>
              <w:t xml:space="preserve">в закрытом тигле не </w:t>
            </w:r>
          </w:p>
          <w:p>
            <w:pPr>
              <w:spacing w:after="20"/>
              <w:ind w:left="20"/>
              <w:jc w:val="both"/>
            </w:pPr>
            <w:r>
              <w:rPr>
                <w:rFonts w:ascii="Times New Roman"/>
                <w:b w:val="false"/>
                <w:i w:val="false"/>
                <w:color w:val="000000"/>
                <w:sz w:val="20"/>
              </w:rPr>
              <w:t>ниже 61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с содержанием серы более 0,05 мас.%, но не более </w:t>
            </w:r>
          </w:p>
          <w:p>
            <w:pPr>
              <w:spacing w:after="20"/>
              <w:ind w:left="20"/>
              <w:jc w:val="both"/>
            </w:pPr>
            <w:r>
              <w:rPr>
                <w:rFonts w:ascii="Times New Roman"/>
                <w:b w:val="false"/>
                <w:i w:val="false"/>
                <w:color w:val="000000"/>
                <w:sz w:val="20"/>
              </w:rPr>
              <w:t>0,2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серы более 0,2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химических превращений в процессах, кроме указанных в подсубпозиции </w:t>
            </w:r>
          </w:p>
          <w:p>
            <w:pPr>
              <w:spacing w:after="20"/>
              <w:ind w:left="20"/>
              <w:jc w:val="both"/>
            </w:pPr>
            <w:r>
              <w:rPr>
                <w:rFonts w:ascii="Times New Roman"/>
                <w:b w:val="false"/>
                <w:i w:val="false"/>
                <w:color w:val="000000"/>
                <w:sz w:val="20"/>
              </w:rPr>
              <w:t>2710 19 710 0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моторные масла, компрессорное смазочное масло, турбинное смазочное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жидкости для гидравлических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светлые масла, вазелиновое масло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для шестерен и масло для редукторов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составы для обработки металлов, масла для смазывания форм, антикоррозионные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электрические изоляционные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 смазочные масла и прочие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парафин синтетический с молекулярной массой 460 и </w:t>
            </w:r>
          </w:p>
          <w:p>
            <w:pPr>
              <w:spacing w:after="20"/>
              <w:ind w:left="20"/>
              <w:jc w:val="both"/>
            </w:pPr>
            <w:r>
              <w:rPr>
                <w:rFonts w:ascii="Times New Roman"/>
                <w:b w:val="false"/>
                <w:i w:val="false"/>
                <w:color w:val="000000"/>
                <w:sz w:val="20"/>
              </w:rPr>
              <w:t>более, но не более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специфических процессов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химических превращений в процессах, кроме </w:t>
            </w:r>
          </w:p>
          <w:p>
            <w:pPr>
              <w:spacing w:after="20"/>
              <w:ind w:left="20"/>
              <w:jc w:val="both"/>
            </w:pPr>
            <w:r>
              <w:rPr>
                <w:rFonts w:ascii="Times New Roman"/>
                <w:b w:val="false"/>
                <w:i w:val="false"/>
                <w:color w:val="000000"/>
                <w:sz w:val="20"/>
              </w:rPr>
              <w:t>указанных в подсубпозиции 2712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смесь 1-алкенов, содержащая 80 мас.% или более 1-алкенов с длиной углеродной цепи в </w:t>
            </w:r>
          </w:p>
          <w:p>
            <w:pPr>
              <w:spacing w:after="20"/>
              <w:ind w:left="20"/>
              <w:jc w:val="both"/>
            </w:pPr>
            <w:r>
              <w:rPr>
                <w:rFonts w:ascii="Times New Roman"/>
                <w:b w:val="false"/>
                <w:i w:val="false"/>
                <w:color w:val="000000"/>
                <w:sz w:val="20"/>
              </w:rPr>
              <w:t>24 атома углерода и более, но не более 28 атомов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 алюминия, отличный от искусственного корунда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амикацин или гентамицин, или </w:t>
            </w:r>
          </w:p>
          <w:p>
            <w:pPr>
              <w:spacing w:after="20"/>
              <w:ind w:left="20"/>
              <w:jc w:val="both"/>
            </w:pPr>
            <w:r>
              <w:rPr>
                <w:rFonts w:ascii="Times New Roman"/>
                <w:b w:val="false"/>
                <w:i w:val="false"/>
                <w:color w:val="000000"/>
                <w:sz w:val="20"/>
              </w:rPr>
              <w:t xml:space="preserve">гризеофульвин, или доксициклин, или </w:t>
            </w:r>
          </w:p>
          <w:p>
            <w:pPr>
              <w:spacing w:after="20"/>
              <w:ind w:left="20"/>
              <w:jc w:val="both"/>
            </w:pPr>
            <w:r>
              <w:rPr>
                <w:rFonts w:ascii="Times New Roman"/>
                <w:b w:val="false"/>
                <w:i w:val="false"/>
                <w:color w:val="000000"/>
                <w:sz w:val="20"/>
              </w:rPr>
              <w:t xml:space="preserve">доксорубицин, или канамицин, или кислоту фузидиевую и ее натриевую соль, или левомицетин (хлорамфеникол) </w:t>
            </w:r>
          </w:p>
          <w:p>
            <w:pPr>
              <w:spacing w:after="20"/>
              <w:ind w:left="20"/>
              <w:jc w:val="both"/>
            </w:pPr>
            <w:r>
              <w:rPr>
                <w:rFonts w:ascii="Times New Roman"/>
                <w:b w:val="false"/>
                <w:i w:val="false"/>
                <w:color w:val="000000"/>
                <w:sz w:val="20"/>
              </w:rPr>
              <w:t xml:space="preserve">и его соли, или линкомицин, </w:t>
            </w:r>
          </w:p>
          <w:p>
            <w:pPr>
              <w:spacing w:after="20"/>
              <w:ind w:left="20"/>
              <w:jc w:val="both"/>
            </w:pPr>
            <w:r>
              <w:rPr>
                <w:rFonts w:ascii="Times New Roman"/>
                <w:b w:val="false"/>
                <w:i w:val="false"/>
                <w:color w:val="000000"/>
                <w:sz w:val="20"/>
              </w:rPr>
              <w:t xml:space="preserve">или метациклин, или нистатин, или рифампицин, или цефазолин, или цефалексин, </w:t>
            </w:r>
          </w:p>
          <w:p>
            <w:pPr>
              <w:spacing w:after="20"/>
              <w:ind w:left="20"/>
              <w:jc w:val="both"/>
            </w:pPr>
            <w:r>
              <w:rPr>
                <w:rFonts w:ascii="Times New Roman"/>
                <w:b w:val="false"/>
                <w:i w:val="false"/>
                <w:color w:val="000000"/>
                <w:sz w:val="20"/>
              </w:rPr>
              <w:t>или цефалотин, или эритромицина 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йод или </w:t>
            </w:r>
          </w:p>
          <w:p>
            <w:pPr>
              <w:spacing w:after="20"/>
              <w:ind w:left="20"/>
              <w:jc w:val="both"/>
            </w:pPr>
            <w:r>
              <w:rPr>
                <w:rFonts w:ascii="Times New Roman"/>
                <w:b w:val="false"/>
                <w:i w:val="false"/>
                <w:color w:val="000000"/>
                <w:sz w:val="20"/>
              </w:rPr>
              <w:t>соединения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йод или </w:t>
            </w:r>
          </w:p>
          <w:p>
            <w:pPr>
              <w:spacing w:after="20"/>
              <w:ind w:left="20"/>
              <w:jc w:val="both"/>
            </w:pPr>
            <w:r>
              <w:rPr>
                <w:rFonts w:ascii="Times New Roman"/>
                <w:b w:val="false"/>
                <w:i w:val="false"/>
                <w:color w:val="000000"/>
                <w:sz w:val="20"/>
              </w:rPr>
              <w:t>соединения йода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растворы, указанные в примечании 4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полиуретан 2,2'-(трет-бутилимино)диэтанола и 4,4'-метилендициклогексилдиизоцианата в виде раствора в N,N-диметилацетамиде с содержанием полимера </w:t>
            </w:r>
          </w:p>
          <w:p>
            <w:pPr>
              <w:spacing w:after="20"/>
              <w:ind w:left="20"/>
              <w:jc w:val="both"/>
            </w:pPr>
            <w:r>
              <w:rPr>
                <w:rFonts w:ascii="Times New Roman"/>
                <w:b w:val="false"/>
                <w:i w:val="false"/>
                <w:color w:val="000000"/>
                <w:sz w:val="20"/>
              </w:rPr>
              <w:t>48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сополимер </w:t>
            </w:r>
            <w:r>
              <w:rPr>
                <w:rFonts w:ascii="Times New Roman"/>
                <w:b w:val="false"/>
                <w:i/>
                <w:color w:val="000000"/>
                <w:sz w:val="20"/>
              </w:rPr>
              <w:t>n</w:t>
            </w:r>
            <w:r>
              <w:rPr>
                <w:rFonts w:ascii="Times New Roman"/>
                <w:b w:val="false"/>
                <w:i w:val="false"/>
                <w:color w:val="000000"/>
                <w:sz w:val="20"/>
              </w:rPr>
              <w:t xml:space="preserve">-крезола и дивинилбензола в виде </w:t>
            </w:r>
          </w:p>
          <w:p>
            <w:pPr>
              <w:spacing w:after="20"/>
              <w:ind w:left="20"/>
              <w:jc w:val="both"/>
            </w:pPr>
            <w:r>
              <w:rPr>
                <w:rFonts w:ascii="Times New Roman"/>
                <w:b w:val="false"/>
                <w:i w:val="false"/>
                <w:color w:val="000000"/>
                <w:sz w:val="20"/>
              </w:rPr>
              <w:t xml:space="preserve">раствора в N,N-диметилацетамиде с содержанием полимера </w:t>
            </w:r>
          </w:p>
          <w:p>
            <w:pPr>
              <w:spacing w:after="20"/>
              <w:ind w:left="20"/>
              <w:jc w:val="both"/>
            </w:pPr>
            <w:r>
              <w:rPr>
                <w:rFonts w:ascii="Times New Roman"/>
                <w:b w:val="false"/>
                <w:i w:val="false"/>
                <w:color w:val="000000"/>
                <w:sz w:val="20"/>
              </w:rPr>
              <w:t>48 мас.%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химически модифицированных природных полимеров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линейные алкилбензолсульфокислоты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водный раствор с содержанием алкилэтоксисульфатов </w:t>
            </w:r>
          </w:p>
          <w:p>
            <w:pPr>
              <w:spacing w:after="20"/>
              <w:ind w:left="20"/>
              <w:jc w:val="both"/>
            </w:pPr>
            <w:r>
              <w:rPr>
                <w:rFonts w:ascii="Times New Roman"/>
                <w:b w:val="false"/>
                <w:i w:val="false"/>
                <w:color w:val="000000"/>
                <w:sz w:val="20"/>
              </w:rPr>
              <w:t xml:space="preserve">30 мас.% или более, но не </w:t>
            </w:r>
          </w:p>
          <w:p>
            <w:pPr>
              <w:spacing w:after="20"/>
              <w:ind w:left="20"/>
              <w:jc w:val="both"/>
            </w:pPr>
            <w:r>
              <w:rPr>
                <w:rFonts w:ascii="Times New Roman"/>
                <w:b w:val="false"/>
                <w:i w:val="false"/>
                <w:color w:val="000000"/>
                <w:sz w:val="20"/>
              </w:rPr>
              <w:t>более 60 мас.% и алкиламиноксидов 5 мас.% или более, но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средства и чистящие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продукты, пригодные для использования в качестве клеев </w:t>
            </w:r>
          </w:p>
          <w:p>
            <w:pPr>
              <w:spacing w:after="20"/>
              <w:ind w:left="20"/>
              <w:jc w:val="both"/>
            </w:pPr>
            <w:r>
              <w:rPr>
                <w:rFonts w:ascii="Times New Roman"/>
                <w:b w:val="false"/>
                <w:i w:val="false"/>
                <w:color w:val="000000"/>
                <w:sz w:val="20"/>
              </w:rPr>
              <w:t xml:space="preserve">или адгезивов, расфасованные для розничной продажи в качестве </w:t>
            </w:r>
          </w:p>
          <w:p>
            <w:pPr>
              <w:spacing w:after="20"/>
              <w:ind w:left="20"/>
              <w:jc w:val="both"/>
            </w:pPr>
            <w:r>
              <w:rPr>
                <w:rFonts w:ascii="Times New Roman"/>
                <w:b w:val="false"/>
                <w:i w:val="false"/>
                <w:color w:val="000000"/>
                <w:sz w:val="20"/>
              </w:rPr>
              <w:t>клеев или адгезивов,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бутилацетата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волокон оптических</w:t>
            </w:r>
            <w:r>
              <w:rPr>
                <w:rFonts w:ascii="Times New Roman"/>
                <w:b w:val="false"/>
                <w:i w:val="false"/>
                <w:color w:val="000000"/>
                <w:vertAlign w:val="superscript"/>
              </w:rPr>
              <w:t>5)</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нефтяные, кумароновые, инденовые или кумароно-инденовые и политерпены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поли(1,3-фениленметилфосфонат)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в одной из форм, упомянутых в примечании 6 (б)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сополимер </w:t>
            </w:r>
            <w:r>
              <w:rPr>
                <w:rFonts w:ascii="Times New Roman"/>
                <w:b w:val="false"/>
                <w:i/>
                <w:color w:val="000000"/>
                <w:sz w:val="20"/>
              </w:rPr>
              <w:t>п</w:t>
            </w:r>
            <w:r>
              <w:rPr>
                <w:rFonts w:ascii="Times New Roman"/>
                <w:b w:val="false"/>
                <w:i w:val="false"/>
                <w:color w:val="000000"/>
                <w:sz w:val="20"/>
              </w:rPr>
              <w:t xml:space="preserve">-крезола и дивинилбензола, в виде </w:t>
            </w:r>
          </w:p>
          <w:p>
            <w:pPr>
              <w:spacing w:after="20"/>
              <w:ind w:left="20"/>
              <w:jc w:val="both"/>
            </w:pPr>
            <w:r>
              <w:rPr>
                <w:rFonts w:ascii="Times New Roman"/>
                <w:b w:val="false"/>
                <w:i w:val="false"/>
                <w:color w:val="000000"/>
                <w:sz w:val="20"/>
              </w:rPr>
              <w:t xml:space="preserve">раствора в N,N-диметилацетамиде с содержанием полимера </w:t>
            </w:r>
          </w:p>
          <w:p>
            <w:pPr>
              <w:spacing w:after="20"/>
              <w:ind w:left="20"/>
              <w:jc w:val="both"/>
            </w:pPr>
            <w:r>
              <w:rPr>
                <w:rFonts w:ascii="Times New Roman"/>
                <w:b w:val="false"/>
                <w:i w:val="false"/>
                <w:color w:val="000000"/>
                <w:sz w:val="20"/>
              </w:rPr>
              <w:t xml:space="preserve">50 мас.% или более; гидрированные сополимеры винилтолуола и </w:t>
            </w:r>
            <w:r>
              <w:rPr>
                <w:rFonts w:ascii="Times New Roman"/>
                <w:b w:val="false"/>
                <w:i w:val="false"/>
                <w:color w:val="000000"/>
                <w:sz w:val="20"/>
              </w:rPr>
              <w:t>a</w:t>
            </w:r>
            <w:r>
              <w:rPr>
                <w:rFonts w:ascii="Times New Roman"/>
                <w:b w:val="false"/>
                <w:i w:val="false"/>
                <w:color w:val="000000"/>
                <w:sz w:val="20"/>
              </w:rPr>
              <w:t>-</w:t>
            </w:r>
          </w:p>
          <w:p>
            <w:pPr>
              <w:spacing w:after="20"/>
              <w:ind w:left="20"/>
              <w:jc w:val="both"/>
            </w:pPr>
            <w:r>
              <w:rPr>
                <w:rFonts w:ascii="Times New Roman"/>
                <w:b w:val="false"/>
                <w:i w:val="false"/>
                <w:color w:val="000000"/>
                <w:sz w:val="20"/>
              </w:rPr>
              <w:t>метилстерина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установленными </w:t>
            </w:r>
          </w:p>
          <w:p>
            <w:pPr>
              <w:spacing w:after="20"/>
              <w:ind w:left="20"/>
              <w:jc w:val="both"/>
            </w:pPr>
            <w:r>
              <w:rPr>
                <w:rFonts w:ascii="Times New Roman"/>
                <w:b w:val="false"/>
                <w:i w:val="false"/>
                <w:color w:val="000000"/>
                <w:sz w:val="20"/>
              </w:rPr>
              <w:t>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установленными </w:t>
            </w:r>
          </w:p>
          <w:p>
            <w:pPr>
              <w:spacing w:after="20"/>
              <w:ind w:left="20"/>
              <w:jc w:val="both"/>
            </w:pPr>
            <w:r>
              <w:rPr>
                <w:rFonts w:ascii="Times New Roman"/>
                <w:b w:val="false"/>
                <w:i w:val="false"/>
                <w:color w:val="000000"/>
                <w:sz w:val="20"/>
              </w:rPr>
              <w:t>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 установленными </w:t>
            </w:r>
          </w:p>
          <w:p>
            <w:pPr>
              <w:spacing w:after="20"/>
              <w:ind w:left="20"/>
              <w:jc w:val="both"/>
            </w:pPr>
            <w:r>
              <w:rPr>
                <w:rFonts w:ascii="Times New Roman"/>
                <w:b w:val="false"/>
                <w:i w:val="false"/>
                <w:color w:val="000000"/>
                <w:sz w:val="20"/>
              </w:rPr>
              <w:t>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производства </w:t>
            </w:r>
          </w:p>
          <w:p>
            <w:pPr>
              <w:spacing w:after="20"/>
              <w:ind w:left="20"/>
              <w:jc w:val="both"/>
            </w:pPr>
            <w:r>
              <w:rPr>
                <w:rFonts w:ascii="Times New Roman"/>
                <w:b w:val="false"/>
                <w:i w:val="false"/>
                <w:color w:val="000000"/>
                <w:sz w:val="20"/>
              </w:rPr>
              <w:t>авиационных двигателей</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пленка полиэтиленовая толщиной 20 мкм или </w:t>
            </w:r>
          </w:p>
          <w:p>
            <w:pPr>
              <w:spacing w:after="20"/>
              <w:ind w:left="20"/>
              <w:jc w:val="both"/>
            </w:pPr>
            <w:r>
              <w:rPr>
                <w:rFonts w:ascii="Times New Roman"/>
                <w:b w:val="false"/>
                <w:i w:val="false"/>
                <w:color w:val="000000"/>
                <w:sz w:val="20"/>
              </w:rPr>
              <w:t xml:space="preserve">более, но не более 40 мкм, для получения пленки фоторезиста, используемой </w:t>
            </w:r>
          </w:p>
          <w:p>
            <w:pPr>
              <w:spacing w:after="20"/>
              <w:ind w:left="20"/>
              <w:jc w:val="both"/>
            </w:pPr>
            <w:r>
              <w:rPr>
                <w:rFonts w:ascii="Times New Roman"/>
                <w:b w:val="false"/>
                <w:i w:val="false"/>
                <w:color w:val="000000"/>
                <w:sz w:val="20"/>
              </w:rPr>
              <w:t>в производстве полупроводниковых или печатных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фиксации электродов фотоэлектрических элементов, состоящая из слоя полиэтилентерефталата толщиной не менее 10,8 мкм, но не более 13,2 мкм и слоя из полимеров этилена толщиной не менее 59,2 мкм, но не более 72,8 мкм, в рулонах шириной не менее 144,6 мм, но не более 145,4 мм, используемая для производства солнечных батарей</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синтетическая бумажная масса </w:t>
            </w:r>
          </w:p>
          <w:p>
            <w:pPr>
              <w:spacing w:after="20"/>
              <w:ind w:left="20"/>
              <w:jc w:val="both"/>
            </w:pPr>
            <w:r>
              <w:rPr>
                <w:rFonts w:ascii="Times New Roman"/>
                <w:b w:val="false"/>
                <w:i w:val="false"/>
                <w:color w:val="000000"/>
                <w:sz w:val="20"/>
              </w:rPr>
              <w:t xml:space="preserve">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w:t>
            </w:r>
          </w:p>
          <w:p>
            <w:pPr>
              <w:spacing w:after="20"/>
              <w:ind w:left="20"/>
              <w:jc w:val="both"/>
            </w:pPr>
            <w:r>
              <w:rPr>
                <w:rFonts w:ascii="Times New Roman"/>
                <w:b w:val="false"/>
                <w:i w:val="false"/>
                <w:color w:val="000000"/>
                <w:sz w:val="20"/>
              </w:rPr>
              <w:t>качестве увлажняющего 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изоляционная, состоящая из слоя полиэтилентерефталата толщиной 50 мкм с двухсторонним покрытием из полимеров этилена толщиной 100 мкм каждый, в рулонах шириной не менее 100 мм, но не более 1150 мм, используемая для производства солнечных батарей</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полимеров этилена толщиной 450 мкм в рулонах шириной не менее 650 мм, но не более 1100 мм, используемая для производства солнечных батарей</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для производства конденсаторов электрических</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полиэфиров сложных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слоистые высокого </w:t>
            </w:r>
          </w:p>
          <w:p>
            <w:pPr>
              <w:spacing w:after="20"/>
              <w:ind w:left="20"/>
              <w:jc w:val="both"/>
            </w:pPr>
            <w:r>
              <w:rPr>
                <w:rFonts w:ascii="Times New Roman"/>
                <w:b w:val="false"/>
                <w:i w:val="false"/>
                <w:color w:val="000000"/>
                <w:sz w:val="20"/>
              </w:rPr>
              <w:t>давления с декорированной поверхностью с одной или обеих сторон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цилиндры высотой не менее </w:t>
            </w:r>
          </w:p>
          <w:p>
            <w:pPr>
              <w:spacing w:after="20"/>
              <w:ind w:left="20"/>
              <w:jc w:val="both"/>
            </w:pPr>
            <w:r>
              <w:rPr>
                <w:rFonts w:ascii="Times New Roman"/>
                <w:b w:val="false"/>
                <w:i w:val="false"/>
                <w:color w:val="000000"/>
                <w:sz w:val="20"/>
              </w:rPr>
              <w:t xml:space="preserve">5 мм, но не более 8 мм, диаметром не менее 12 мм, </w:t>
            </w:r>
          </w:p>
          <w:p>
            <w:pPr>
              <w:spacing w:after="20"/>
              <w:ind w:left="20"/>
              <w:jc w:val="both"/>
            </w:pPr>
            <w:r>
              <w:rPr>
                <w:rFonts w:ascii="Times New Roman"/>
                <w:b w:val="false"/>
                <w:i w:val="false"/>
                <w:color w:val="000000"/>
                <w:sz w:val="20"/>
              </w:rPr>
              <w:t xml:space="preserve">но не более 15 мм, без оптической обработки, со сферической лункой на </w:t>
            </w:r>
          </w:p>
          <w:p>
            <w:pPr>
              <w:spacing w:after="20"/>
              <w:ind w:left="20"/>
              <w:jc w:val="both"/>
            </w:pPr>
            <w:r>
              <w:rPr>
                <w:rFonts w:ascii="Times New Roman"/>
                <w:b w:val="false"/>
                <w:i w:val="false"/>
                <w:color w:val="000000"/>
                <w:sz w:val="20"/>
              </w:rPr>
              <w:t xml:space="preserve">одном торце, для производства контактных </w:t>
            </w:r>
          </w:p>
          <w:p>
            <w:pPr>
              <w:spacing w:after="20"/>
              <w:ind w:left="20"/>
              <w:jc w:val="both"/>
            </w:pPr>
            <w:r>
              <w:rPr>
                <w:rFonts w:ascii="Times New Roman"/>
                <w:b w:val="false"/>
                <w:i w:val="false"/>
                <w:color w:val="000000"/>
                <w:sz w:val="20"/>
              </w:rPr>
              <w:t xml:space="preserve">линз субпозиции </w:t>
            </w:r>
          </w:p>
          <w:p>
            <w:pPr>
              <w:spacing w:after="20"/>
              <w:ind w:left="20"/>
              <w:jc w:val="both"/>
            </w:pPr>
            <w:r>
              <w:rPr>
                <w:rFonts w:ascii="Times New Roman"/>
                <w:b w:val="false"/>
                <w:i w:val="false"/>
                <w:color w:val="000000"/>
                <w:sz w:val="20"/>
              </w:rPr>
              <w:t>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емкости для природного газа, рассчитанные на рабочее давление 20 МПа или более, предназначенные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цилиндры высотой не менее </w:t>
            </w:r>
          </w:p>
          <w:p>
            <w:pPr>
              <w:spacing w:after="20"/>
              <w:ind w:left="20"/>
              <w:jc w:val="both"/>
            </w:pPr>
            <w:r>
              <w:rPr>
                <w:rFonts w:ascii="Times New Roman"/>
                <w:b w:val="false"/>
                <w:i w:val="false"/>
                <w:color w:val="000000"/>
                <w:sz w:val="20"/>
              </w:rPr>
              <w:t>5 мм, но не более 30 мм, диаметром не менее 30 мм, но не более 150 мм, без оптической обработки, с выпуклыми и/или вогнутыми и/или плоскими торцевыми поверхностями, для производства линз для очков субпозиции 9001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посадочным диаметром не </w:t>
            </w:r>
          </w:p>
          <w:p>
            <w:pPr>
              <w:spacing w:after="20"/>
              <w:ind w:left="20"/>
              <w:jc w:val="both"/>
            </w:pPr>
            <w:r>
              <w:rPr>
                <w:rFonts w:ascii="Times New Roman"/>
                <w:b w:val="false"/>
                <w:i w:val="false"/>
                <w:color w:val="000000"/>
                <w:sz w:val="20"/>
              </w:rPr>
              <w:t>более 16 дюймов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полиэфирные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ореха кокосового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пластин максимальной площадью 0,3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пластин максимальной площадью 0,3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1"/>
          <w:p>
            <w:pPr>
              <w:spacing w:after="20"/>
              <w:ind w:left="20"/>
              <w:jc w:val="both"/>
            </w:pPr>
            <w:r>
              <w:rPr>
                <w:rFonts w:ascii="Times New Roman"/>
                <w:b w:val="false"/>
                <w:i w:val="false"/>
                <w:color w:val="000000"/>
                <w:sz w:val="20"/>
              </w:rPr>
              <w:t xml:space="preserve">
5, но не менее </w:t>
            </w:r>
          </w:p>
          <w:bookmarkEnd w:id="31"/>
          <w:p>
            <w:pPr>
              <w:spacing w:after="20"/>
              <w:ind w:left="20"/>
              <w:jc w:val="both"/>
            </w:pPr>
            <w:r>
              <w:rPr>
                <w:rFonts w:ascii="Times New Roman"/>
                <w:b w:val="false"/>
                <w:i w:val="false"/>
                <w:color w:val="000000"/>
                <w:sz w:val="20"/>
              </w:rPr>
              <w:t>
0,94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кровельные или облицовочные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лицевой стороной не более 90 см²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лицевой стороной не более 90 см²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неглазурованные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плитка двойная типа "шпальтплаттен"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лицевой стороной не более 90 см²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резные или декорированные иначе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стекла, имеющего </w:t>
            </w:r>
          </w:p>
          <w:p>
            <w:pPr>
              <w:spacing w:after="20"/>
              <w:ind w:left="20"/>
              <w:jc w:val="both"/>
            </w:pPr>
            <w:r>
              <w:rPr>
                <w:rFonts w:ascii="Times New Roman"/>
                <w:b w:val="false"/>
                <w:i w:val="false"/>
                <w:color w:val="000000"/>
                <w:sz w:val="20"/>
              </w:rPr>
              <w:t>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серебра, имеющего или не имеющего гальванического покрытия, плакированного или </w:t>
            </w:r>
          </w:p>
          <w:p>
            <w:pPr>
              <w:spacing w:after="20"/>
              <w:ind w:left="20"/>
              <w:jc w:val="both"/>
            </w:pPr>
            <w:r>
              <w:rPr>
                <w:rFonts w:ascii="Times New Roman"/>
                <w:b w:val="false"/>
                <w:i w:val="false"/>
                <w:color w:val="000000"/>
                <w:sz w:val="20"/>
              </w:rPr>
              <w:t>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драгоценных </w:t>
            </w:r>
          </w:p>
          <w:p>
            <w:pPr>
              <w:spacing w:after="20"/>
              <w:ind w:left="20"/>
              <w:jc w:val="both"/>
            </w:pPr>
            <w:r>
              <w:rPr>
                <w:rFonts w:ascii="Times New Roman"/>
                <w:b w:val="false"/>
                <w:i w:val="false"/>
                <w:color w:val="000000"/>
                <w:sz w:val="20"/>
              </w:rPr>
              <w:t>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серебра, имеющего или не имеющего гальванического покрытия, плакированного или </w:t>
            </w:r>
          </w:p>
          <w:p>
            <w:pPr>
              <w:spacing w:after="20"/>
              <w:ind w:left="20"/>
              <w:jc w:val="both"/>
            </w:pPr>
            <w:r>
              <w:rPr>
                <w:rFonts w:ascii="Times New Roman"/>
                <w:b w:val="false"/>
                <w:i w:val="false"/>
                <w:color w:val="000000"/>
                <w:sz w:val="20"/>
              </w:rPr>
              <w:t>не плакированного другими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прочих драгоценных </w:t>
            </w:r>
          </w:p>
          <w:p>
            <w:pPr>
              <w:spacing w:after="20"/>
              <w:ind w:left="20"/>
              <w:jc w:val="both"/>
            </w:pPr>
            <w:r>
              <w:rPr>
                <w:rFonts w:ascii="Times New Roman"/>
                <w:b w:val="false"/>
                <w:i w:val="false"/>
                <w:color w:val="000000"/>
                <w:sz w:val="20"/>
              </w:rPr>
              <w:t>металлов, имеющих или не имеющих гальванического покрытия, плакированных или не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катализаторы в форме </w:t>
            </w:r>
          </w:p>
          <w:p>
            <w:pPr>
              <w:spacing w:after="20"/>
              <w:ind w:left="20"/>
              <w:jc w:val="both"/>
            </w:pPr>
            <w:r>
              <w:rPr>
                <w:rFonts w:ascii="Times New Roman"/>
                <w:b w:val="false"/>
                <w:i w:val="false"/>
                <w:color w:val="000000"/>
                <w:sz w:val="20"/>
              </w:rPr>
              <w:t>проволочной сетки или решетки из платины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и трубки, используемые в системах, работающих под давлением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наружным диаметром 530 мм и более, из стали с временным сопротивлением разрыву (пределом прочности) 565 МПа (что соответствует </w:t>
            </w:r>
          </w:p>
          <w:p>
            <w:pPr>
              <w:spacing w:after="20"/>
              <w:ind w:left="20"/>
              <w:jc w:val="both"/>
            </w:pPr>
            <w:r>
              <w:rPr>
                <w:rFonts w:ascii="Times New Roman"/>
                <w:b w:val="false"/>
                <w:i w:val="false"/>
                <w:color w:val="000000"/>
                <w:sz w:val="20"/>
              </w:rPr>
              <w:t>57,6 кгс/мм</w:t>
            </w:r>
            <w:r>
              <w:rPr>
                <w:rFonts w:ascii="Times New Roman"/>
                <w:b w:val="false"/>
                <w:i w:val="false"/>
                <w:color w:val="000000"/>
                <w:vertAlign w:val="superscript"/>
              </w:rPr>
              <w:t>2</w:t>
            </w:r>
            <w:r>
              <w:rPr>
                <w:rFonts w:ascii="Times New Roman"/>
                <w:b w:val="false"/>
                <w:i w:val="false"/>
                <w:color w:val="000000"/>
                <w:sz w:val="20"/>
              </w:rPr>
              <w:t>) и более</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временным сопротивлением разрыву (пределом прочности) 530 МПа (что соответствует 54 кгс/мм</w:t>
            </w:r>
            <w:r>
              <w:rPr>
                <w:rFonts w:ascii="Times New Roman"/>
                <w:b w:val="false"/>
                <w:i w:val="false"/>
                <w:color w:val="000000"/>
                <w:vertAlign w:val="superscript"/>
              </w:rPr>
              <w:t>2</w:t>
            </w:r>
            <w:r>
              <w:rPr>
                <w:rFonts w:ascii="Times New Roman"/>
                <w:b w:val="false"/>
                <w:i w:val="false"/>
                <w:color w:val="000000"/>
                <w:sz w:val="20"/>
              </w:rPr>
              <w:t xml:space="preserve">) и более и ударной вязкостью металла 2,5 кгс·м/см² и более при температуре испытания </w:t>
            </w:r>
          </w:p>
          <w:p>
            <w:pPr>
              <w:spacing w:after="20"/>
              <w:ind w:left="20"/>
              <w:jc w:val="both"/>
            </w:pPr>
            <w:r>
              <w:rPr>
                <w:rFonts w:ascii="Times New Roman"/>
                <w:b w:val="false"/>
                <w:i w:val="false"/>
                <w:color w:val="000000"/>
                <w:sz w:val="20"/>
              </w:rPr>
              <w:t>–34 °С и ниже</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наружным диаметром 530 мм и более, из стали с пределом текучести 290 МПа (что соответствует 29,6 кгс/мм</w:t>
            </w:r>
            <w:r>
              <w:rPr>
                <w:rFonts w:ascii="Times New Roman"/>
                <w:b w:val="false"/>
                <w:i w:val="false"/>
                <w:color w:val="000000"/>
                <w:vertAlign w:val="superscript"/>
              </w:rPr>
              <w:t>2</w:t>
            </w:r>
            <w:r>
              <w:rPr>
                <w:rFonts w:ascii="Times New Roman"/>
                <w:b w:val="false"/>
                <w:i w:val="false"/>
                <w:color w:val="000000"/>
                <w:sz w:val="20"/>
              </w:rPr>
              <w:t>) и выше, предназначенные для работы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промышленной сборки моторных транспортных средств товарных позиций 8701 – 8705, </w:t>
            </w:r>
          </w:p>
          <w:p>
            <w:pPr>
              <w:spacing w:after="20"/>
              <w:ind w:left="20"/>
              <w:jc w:val="both"/>
            </w:pPr>
            <w:r>
              <w:rPr>
                <w:rFonts w:ascii="Times New Roman"/>
                <w:b w:val="false"/>
                <w:i w:val="false"/>
                <w:color w:val="000000"/>
                <w:sz w:val="20"/>
              </w:rPr>
              <w:t>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шахтная крепь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панели, состоящие из двух стенок, изготовленных из гофрированного (ребристого) листа с изоляционным наполнителем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водосливы, шлюзы, шлюзовые ворота, дебаркадеры, стационарные доки и другие конструкции для морских и судоходных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облицовкой или теплоизоляцией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100 000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100 000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твердых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л или более, но не более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менее 1000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духовкой, включая </w:t>
            </w:r>
          </w:p>
          <w:p>
            <w:pPr>
              <w:spacing w:after="20"/>
              <w:ind w:left="20"/>
              <w:jc w:val="both"/>
            </w:pPr>
            <w:r>
              <w:rPr>
                <w:rFonts w:ascii="Times New Roman"/>
                <w:b w:val="false"/>
                <w:i w:val="false"/>
                <w:color w:val="000000"/>
                <w:sz w:val="20"/>
              </w:rPr>
              <w:t>раздельные духовки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на газовом или на газовом и других видах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ковкого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лестницы и стремянки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поддоны и аналогичные платформы для перемещения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барабаны для канатов, трубок и аналогичных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немеханические вентиляторы, желоба, крюки и аналогичные изделия, используемые в строительной индустрии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перфорированные заслонки </w:t>
            </w:r>
          </w:p>
          <w:p>
            <w:pPr>
              <w:spacing w:after="20"/>
              <w:ind w:left="20"/>
              <w:jc w:val="both"/>
            </w:pPr>
            <w:r>
              <w:rPr>
                <w:rFonts w:ascii="Times New Roman"/>
                <w:b w:val="false"/>
                <w:i w:val="false"/>
                <w:color w:val="000000"/>
                <w:sz w:val="20"/>
              </w:rPr>
              <w:t>и аналогичные изделия из листа, используемые для фильтрации воды на входе в дренажные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перфорированные заслонки </w:t>
            </w:r>
          </w:p>
          <w:p>
            <w:pPr>
              <w:spacing w:after="20"/>
              <w:ind w:left="20"/>
              <w:jc w:val="both"/>
            </w:pPr>
            <w:r>
              <w:rPr>
                <w:rFonts w:ascii="Times New Roman"/>
                <w:b w:val="false"/>
                <w:i w:val="false"/>
                <w:color w:val="000000"/>
                <w:sz w:val="20"/>
              </w:rPr>
              <w:t xml:space="preserve">и аналогичные изделия из листа, используемые для фильтрации воды на входе </w:t>
            </w:r>
          </w:p>
          <w:p>
            <w:pPr>
              <w:spacing w:after="20"/>
              <w:ind w:left="20"/>
              <w:jc w:val="both"/>
            </w:pPr>
            <w:r>
              <w:rPr>
                <w:rFonts w:ascii="Times New Roman"/>
                <w:b w:val="false"/>
                <w:i w:val="false"/>
                <w:color w:val="000000"/>
                <w:sz w:val="20"/>
              </w:rPr>
              <w:t>в дренажные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максимальным размером поперечного сечения более </w:t>
            </w:r>
          </w:p>
          <w:p>
            <w:pPr>
              <w:spacing w:after="20"/>
              <w:ind w:left="20"/>
              <w:jc w:val="both"/>
            </w:pPr>
            <w:r>
              <w:rPr>
                <w:rFonts w:ascii="Times New Roman"/>
                <w:b w:val="false"/>
                <w:i w:val="false"/>
                <w:color w:val="000000"/>
                <w:sz w:val="20"/>
              </w:rPr>
              <w:t>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максимальным размером поперечного сечения не более 0,5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котлов паровых и котлов перегретой воды для судового оборудования</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изготовления газовых турбин мощностью более </w:t>
            </w:r>
          </w:p>
          <w:p>
            <w:pPr>
              <w:spacing w:after="20"/>
              <w:ind w:left="20"/>
              <w:jc w:val="both"/>
            </w:pPr>
            <w:r>
              <w:rPr>
                <w:rFonts w:ascii="Times New Roman"/>
                <w:b w:val="false"/>
                <w:i w:val="false"/>
                <w:color w:val="000000"/>
                <w:sz w:val="20"/>
              </w:rPr>
              <w:t>50 000 кВт</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 диаметром основания дробящего подвижного конуса не менее 2200 мм, но не более 3000 мм или с приемным отверстием длиной не менее </w:t>
            </w:r>
          </w:p>
          <w:p>
            <w:pPr>
              <w:spacing w:after="20"/>
              <w:ind w:left="20"/>
              <w:jc w:val="both"/>
            </w:pPr>
            <w:r>
              <w:rPr>
                <w:rFonts w:ascii="Times New Roman"/>
                <w:b w:val="false"/>
                <w:i w:val="false"/>
                <w:color w:val="000000"/>
                <w:sz w:val="20"/>
              </w:rPr>
              <w:t>500 мм, но не более 1500 мм и шириной не менее 60 мм, но не более 300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щековые дробилки </w:t>
            </w:r>
          </w:p>
          <w:p>
            <w:pPr>
              <w:spacing w:after="20"/>
              <w:ind w:left="20"/>
              <w:jc w:val="both"/>
            </w:pPr>
            <w:r>
              <w:rPr>
                <w:rFonts w:ascii="Times New Roman"/>
                <w:b w:val="false"/>
                <w:i w:val="false"/>
                <w:color w:val="000000"/>
                <w:sz w:val="20"/>
              </w:rPr>
              <w:t xml:space="preserve">несамоходные с приемным отверстием длиной не менее </w:t>
            </w:r>
          </w:p>
          <w:p>
            <w:pPr>
              <w:spacing w:after="20"/>
              <w:ind w:left="20"/>
              <w:jc w:val="both"/>
            </w:pPr>
            <w:r>
              <w:rPr>
                <w:rFonts w:ascii="Times New Roman"/>
                <w:b w:val="false"/>
                <w:i w:val="false"/>
                <w:color w:val="000000"/>
                <w:sz w:val="20"/>
              </w:rPr>
              <w:t xml:space="preserve">400 мм, но не более 2100 мм и шириной не менее 200 мм, </w:t>
            </w:r>
          </w:p>
          <w:p>
            <w:pPr>
              <w:spacing w:after="20"/>
              <w:ind w:left="20"/>
              <w:jc w:val="both"/>
            </w:pPr>
            <w:r>
              <w:rPr>
                <w:rFonts w:ascii="Times New Roman"/>
                <w:b w:val="false"/>
                <w:i w:val="false"/>
                <w:color w:val="000000"/>
                <w:sz w:val="20"/>
              </w:rPr>
              <w:t>но не более 1500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барабанные мельницы несамоходные с внутренним диаметром барабана не менее </w:t>
            </w:r>
          </w:p>
          <w:p>
            <w:pPr>
              <w:spacing w:after="20"/>
              <w:ind w:left="20"/>
              <w:jc w:val="both"/>
            </w:pPr>
            <w:r>
              <w:rPr>
                <w:rFonts w:ascii="Times New Roman"/>
                <w:b w:val="false"/>
                <w:i w:val="false"/>
                <w:color w:val="000000"/>
                <w:sz w:val="20"/>
              </w:rPr>
              <w:t>2 м, но не более 3,6 м без учета футеровки и броневых 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самоходные на гусеничном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для смешивания минеральных веществ с битумом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регуляторы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–40 °С и ниже, давлении </w:t>
            </w:r>
          </w:p>
          <w:p>
            <w:pPr>
              <w:spacing w:after="20"/>
              <w:ind w:left="20"/>
              <w:jc w:val="both"/>
            </w:pPr>
            <w:r>
              <w:rPr>
                <w:rFonts w:ascii="Times New Roman"/>
                <w:b w:val="false"/>
                <w:i w:val="false"/>
                <w:color w:val="000000"/>
                <w:sz w:val="20"/>
              </w:rPr>
              <w:t>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–55 °С и ниже, давлении </w:t>
            </w:r>
          </w:p>
          <w:p>
            <w:pPr>
              <w:spacing w:after="20"/>
              <w:ind w:left="20"/>
              <w:jc w:val="both"/>
            </w:pPr>
            <w:r>
              <w:rPr>
                <w:rFonts w:ascii="Times New Roman"/>
                <w:b w:val="false"/>
                <w:i w:val="false"/>
                <w:color w:val="000000"/>
                <w:sz w:val="20"/>
              </w:rPr>
              <w:t>80 Па и выше</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–40 °С и ниже, давлении </w:t>
            </w:r>
          </w:p>
          <w:p>
            <w:pPr>
              <w:spacing w:after="20"/>
              <w:ind w:left="20"/>
              <w:jc w:val="both"/>
            </w:pPr>
            <w:r>
              <w:rPr>
                <w:rFonts w:ascii="Times New Roman"/>
                <w:b w:val="false"/>
                <w:i w:val="false"/>
                <w:color w:val="000000"/>
                <w:sz w:val="20"/>
              </w:rPr>
              <w:t>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–55 °С и ниже, давлении </w:t>
            </w:r>
          </w:p>
          <w:p>
            <w:pPr>
              <w:spacing w:after="20"/>
              <w:ind w:left="20"/>
              <w:jc w:val="both"/>
            </w:pPr>
            <w:r>
              <w:rPr>
                <w:rFonts w:ascii="Times New Roman"/>
                <w:b w:val="false"/>
                <w:i w:val="false"/>
                <w:color w:val="000000"/>
                <w:sz w:val="20"/>
              </w:rPr>
              <w:t>80 Па и выше</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для промышленной сборки моторных транспортных средств товарных позиций </w:t>
            </w:r>
          </w:p>
          <w:p>
            <w:pPr>
              <w:spacing w:after="20"/>
              <w:ind w:left="20"/>
              <w:jc w:val="both"/>
            </w:pP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–40 °С и ниже, давлении </w:t>
            </w:r>
          </w:p>
          <w:p>
            <w:pPr>
              <w:spacing w:after="20"/>
              <w:ind w:left="20"/>
              <w:jc w:val="both"/>
            </w:pPr>
            <w:r>
              <w:rPr>
                <w:rFonts w:ascii="Times New Roman"/>
                <w:b w:val="false"/>
                <w:i w:val="false"/>
                <w:color w:val="000000"/>
                <w:sz w:val="20"/>
              </w:rPr>
              <w:t>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–55 °С и ниже, давлении </w:t>
            </w:r>
          </w:p>
          <w:p>
            <w:pPr>
              <w:spacing w:after="20"/>
              <w:ind w:left="20"/>
              <w:jc w:val="both"/>
            </w:pPr>
            <w:r>
              <w:rPr>
                <w:rFonts w:ascii="Times New Roman"/>
                <w:b w:val="false"/>
                <w:i w:val="false"/>
                <w:color w:val="000000"/>
                <w:sz w:val="20"/>
              </w:rPr>
              <w:t>80 Па и выше</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производства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–40 °С и ниже, давлении </w:t>
            </w:r>
          </w:p>
          <w:p>
            <w:pPr>
              <w:spacing w:after="20"/>
              <w:ind w:left="20"/>
              <w:jc w:val="both"/>
            </w:pPr>
            <w:r>
              <w:rPr>
                <w:rFonts w:ascii="Times New Roman"/>
                <w:b w:val="false"/>
                <w:i w:val="false"/>
                <w:color w:val="000000"/>
                <w:sz w:val="20"/>
              </w:rPr>
              <w:t>16 Па и выше, в среде, содержащей сероводород (H</w:t>
            </w:r>
            <w:r>
              <w:rPr>
                <w:rFonts w:ascii="Times New Roman"/>
                <w:b w:val="false"/>
                <w:i w:val="false"/>
                <w:color w:val="000000"/>
                <w:vertAlign w:val="subscript"/>
              </w:rPr>
              <w:t>2</w:t>
            </w:r>
            <w:r>
              <w:rPr>
                <w:rFonts w:ascii="Times New Roman"/>
                <w:b w:val="false"/>
                <w:i w:val="false"/>
                <w:color w:val="000000"/>
                <w:sz w:val="20"/>
              </w:rPr>
              <w:t>S)</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предназначенные для работы при температуре окружающего воздуха </w:t>
            </w:r>
          </w:p>
          <w:p>
            <w:pPr>
              <w:spacing w:after="20"/>
              <w:ind w:left="20"/>
              <w:jc w:val="both"/>
            </w:pPr>
            <w:r>
              <w:rPr>
                <w:rFonts w:ascii="Times New Roman"/>
                <w:b w:val="false"/>
                <w:i w:val="false"/>
                <w:color w:val="000000"/>
                <w:sz w:val="20"/>
              </w:rPr>
              <w:t xml:space="preserve">–55 °С и ниже, давлении </w:t>
            </w:r>
          </w:p>
          <w:p>
            <w:pPr>
              <w:spacing w:after="20"/>
              <w:ind w:left="20"/>
              <w:jc w:val="both"/>
            </w:pPr>
            <w:r>
              <w:rPr>
                <w:rFonts w:ascii="Times New Roman"/>
                <w:b w:val="false"/>
                <w:i w:val="false"/>
                <w:color w:val="000000"/>
                <w:sz w:val="20"/>
              </w:rPr>
              <w:t>80 Па и выше</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авиационных двигателей и/или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водонагреватели проточные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1, 8524 12 003 1, 8524 19 003 1, 8524 91 003 1, 8524 92 003 1, 8524 99 003 1, предназначенных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 8524 12 003 9, 8524 19 003 9, 8524 91 003 9, 8524 92 003 9, 8524 99 003 9, предназначенных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лакированные или эмалированные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медными проводниками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одноосных, указанных в субпозиции 8701 10; транспортных средств товарной позиции 8703; транспортных средств </w:t>
            </w:r>
          </w:p>
          <w:p>
            <w:pPr>
              <w:spacing w:after="20"/>
              <w:ind w:left="20"/>
              <w:jc w:val="both"/>
            </w:pPr>
            <w:r>
              <w:rPr>
                <w:rFonts w:ascii="Times New Roman"/>
                <w:b w:val="false"/>
                <w:i w:val="false"/>
                <w:color w:val="000000"/>
                <w:sz w:val="20"/>
              </w:rPr>
              <w:t>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транспортных средств товарной позиции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промышленной сборки моторных транспортных средств товарных позиций 8701 – 8705, кроме моторных транспортных средств, упомянутых в подсубпозиции 8708 29 100 0; для промышленной сборки узлов и агрегатов моторных транспортных средств товарных позиций </w:t>
            </w:r>
          </w:p>
          <w:p>
            <w:pPr>
              <w:spacing w:after="20"/>
              <w:ind w:left="20"/>
              <w:jc w:val="both"/>
            </w:pPr>
            <w:r>
              <w:rPr>
                <w:rFonts w:ascii="Times New Roman"/>
                <w:b w:val="false"/>
                <w:i w:val="false"/>
                <w:color w:val="000000"/>
                <w:sz w:val="20"/>
              </w:rPr>
              <w:t>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радиаторы</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w:t>
            </w:r>
          </w:p>
          <w:p>
            <w:pPr>
              <w:spacing w:after="20"/>
              <w:ind w:left="20"/>
              <w:jc w:val="both"/>
            </w:pPr>
            <w:r>
              <w:rPr>
                <w:rFonts w:ascii="Times New Roman"/>
                <w:b w:val="false"/>
                <w:i w:val="false"/>
                <w:color w:val="000000"/>
                <w:sz w:val="20"/>
              </w:rPr>
              <w:t>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для промышленной сборки моторных транспортных средств товарных позиций 8701 – 8705, кроме моторных транспортных средств, упомянутых в подсубпозиции </w:t>
            </w:r>
          </w:p>
          <w:p>
            <w:pPr>
              <w:spacing w:after="20"/>
              <w:ind w:left="20"/>
              <w:jc w:val="both"/>
            </w:pPr>
            <w:r>
              <w:rPr>
                <w:rFonts w:ascii="Times New Roman"/>
                <w:b w:val="false"/>
                <w:i w:val="false"/>
                <w:color w:val="000000"/>
                <w:sz w:val="20"/>
              </w:rPr>
              <w:t>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кроме моторных транспортных средств, упомянутых в подсубпозиции 8708 91 200;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промышленной сборки: тракторов одноосных, указанных в субпозиции 8701 10; транспортных средств товарной позиции 8703;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w:t>
            </w:r>
          </w:p>
          <w:p>
            <w:pPr>
              <w:spacing w:after="20"/>
              <w:ind w:left="20"/>
              <w:jc w:val="both"/>
            </w:pPr>
            <w:r>
              <w:rPr>
                <w:rFonts w:ascii="Times New Roman"/>
                <w:b w:val="false"/>
                <w:i w:val="false"/>
                <w:color w:val="000000"/>
                <w:sz w:val="20"/>
              </w:rPr>
              <w:t xml:space="preserve">рабочим объемом цилиндров двигателя не более 2800 см³; транспортных средств </w:t>
            </w:r>
          </w:p>
          <w:p>
            <w:pPr>
              <w:spacing w:after="20"/>
              <w:ind w:left="20"/>
              <w:jc w:val="both"/>
            </w:pPr>
            <w:r>
              <w:rPr>
                <w:rFonts w:ascii="Times New Roman"/>
                <w:b w:val="false"/>
                <w:i w:val="false"/>
                <w:color w:val="000000"/>
                <w:sz w:val="20"/>
              </w:rPr>
              <w:t>товарной позиции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промышленной сборки моторных транспортных средств товарных позиций 8701 – 8705, кроме моторных транспортных средств, упомянутых в подсубпозиции 8708 99 100 0;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 Необходимо руководствоваться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