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f203" w14:textId="815f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"Пищевая продукция в части ее маркировки" (ТР ТС 022/2011)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января 2019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 пунктом 11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течение 24 месяцев с даты вступления в силу изменений в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"Пищевая продукция в части ее маркировки" (ТР ТС 022/2011), внесенных Решением Совета Евразийской экономической комиссии от 14 сентября 2018 г. № 75, допускаются производство и выпуск в обращение на таможенной территории Евразийского экономического союза пищевой продукциив соответствии с обязательными требованиями в части ее маркировки,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"Пищевая продукция в части ее маркировки" (TP ТС 022/2011), принятым Решением Комиссии Таможенного союза от 9 декабря 2011 г. № 881;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обращение продукции, указанной в подпункте "а" настоящего пункта, допускается в течение срока годности, установленного ее изготовителем.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