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729c" w14:textId="0fb7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союза, а также в некоторые решения Высшего Евразийского экономического совета 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июня 2019 года № 106.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 и в связи с изменениями международной основы единой Товарной номенклатуры внешнеэкономической деятельности Евразийского экономического союза (Решение Совета руководителей таможенных служб государств – участников СНГ от 4 октября 2018 г. № 9/68)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июня 2019 г. № 106 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