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6ea2" w14:textId="7a66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2019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Положение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30), следующие изменения: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пункт 5 после абзаца второго дополнить абзацем следующего содержания: "радиоэлектронные средства и (или) высокочастотные устройства включены в состав бортового оборудования воздушных, водных судов;";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подпункте "в" пункта 9: 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составе бортового оборудования воздушных, морских (речных) судов, а также" исключить;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"морские (речные)" заменить словом "водные".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