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41a" w14:textId="ae06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подовой массы для футеровки алюминиевых электролизеров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161.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из единой Товарной номенклатуры внешнеэкономической деятельности Евразийского экономического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дополнить примечания к Единому таможенному тарифу Евразийского экономического союза примечанием 61С следующего содержания: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17 сентября 2019 г. № 161 по 31.10.2020 включительно.".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 календарных дней с даты его официального опубликования.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 161 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 161  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масса подовая для футеровки алюминиевых электролизеров в виде рассыпчатого маслянистого материала с массовой долей веществ, не растворимых в хинолине, не менее 76 %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 161 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масса подовая для футеровки алюминиевых электролизеров в виде рассыпчатого маслянистого материала с массовой долей веществ, не растворимых в хинолине, не менее 76 %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3801 90 000 9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