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57f2" w14:textId="2015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епарата на основе беззародышевых субстратов продуктов обмена веществ микроорганизм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19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1.05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парат для приема внутрь, содержащий в качестве действующих веществ беззародышевые субстраты продуктов обмена веществ микроорганизмов (метаболиты бесклеточной культуральной жидкости бактерий, бацилл или других микроорганизмов), а также вспомогательные вещества, предназначенный для нормализации кислотно-щелочного баланса и регулирования роста микроорганизмов (микрофлоры) пищеварительной системы организма человека, не имеющий указаний для использования в терапевтических или профилактических целях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ллегии Евразийской экономической комиссии от 11.05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