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952c9" w14:textId="f1952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перечень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мебельной продукции" (ТР ТС 025/2012) и осуществления оценки соответствия объектов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24 декабря 2019 года № 234.</w:t>
      </w:r>
    </w:p>
    <w:p>
      <w:pPr>
        <w:spacing w:after="0"/>
        <w:ind w:left="0"/>
        <w:jc w:val="left"/>
      </w:pPr>
      <w:bookmarkStart w:name="z3" w:id="0"/>
      <w:r>
        <w:rPr>
          <w:rFonts w:ascii="Times New Roman"/>
          <w:b/>
          <w:i w:val="false"/>
          <w:color w:val="000000"/>
        </w:rPr>
        <w:t xml:space="preserve"> О внесении изменения в перечень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мебельной продукции" (ТР ТС 025/2012) и осуществления оценки соответствия объектов технического регулирования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пунктах 66 – 74 перечня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мебельной продукции" (ТР ТС 025/2012) и осуществления оценки соответствия объектов технического регулирования,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18 октября 2012 г. № 189, в графе 5 слова "применяется до 01.01.2020" заменить словами "применяется до включения соответствующего межгосударственного стандарта в перечень стандартов".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 и распространяется на правоотношения, возникшие с 1 января 2020 г.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