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0fd0" w14:textId="cf80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 Порядка применения освобождения от уплаты таможенных пошлин при ввозе отдельных категорий товаров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2019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указанному Договору),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Продукция морского промысла судов государств – членов Евразийского экономического союза, а также судов, арендованных (зафрахтованных) юридическими лицами и (или) физическими лицами государств – членов Евразийского экономического союза, освобождается от ввозной таможенной пошлины при представлении следующих документов: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собственности или аренду (фрахтование) судна;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органа государства – члена Евразийского экономического союза, уполномоченного в области рыболовства и (или) охраны морских биологических ресурсов, дающий право на осуществление морского промысла (в случае ввоза продукции морского промысла судов, осуществляющих добычу (вылов) водных биологических ресурсов).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ввозной таможенной пошлины распространяется на уловы водных биологических ресурсов, добытые (выловленные) судами государств – членов Евразийского экономического союза, а также судами, арендованными (зафрахтованными) юридическими лицами и (или) физическими лицами государств – членов Евразийского экономического союза, а также на рыбную и иную продукцию, произведенную на указанных судах из водных биологических ресурсов.".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