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ee78" w14:textId="7a8e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категорий товаров,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(допуска) допускаются без уплаты ввозных таможенных пошлин, налогов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8 августа 2019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219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 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(допуска) допускаются без уплаты ввозных таможенных пошлин, налогов, утвержденный Решением Совета Евразийской экономической комиссии от 20 декабря 2017 г. № 109, дополнить пунктом 7 следующего содержания: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Морское пассажирское судно (код 8901 10 100 9 ТН ВЭД ЕАЭС), зафрахтованное ФГУП "Росморпорт", при условии его использования в качестве плавучей гостиницы для проживания участников, гостей, персонала и других клиентских групп в период проведения ежегодного Восточного экономического форума в г. Владивостоке.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срок временного нахождения и использования на таможенной территории Евразийского экономического союза в соответствии с таможенной процедурой временного ввоза (допуска) без уплаты ввозных таможенных пошлин, налогов указанного морского пассажирского судна – 30 календарных дней со дня помещения под такую таможенную процедуру.".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 календарных дней с даты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распространяется на правоотношения, возникшие с момента помещения под таможенную процедуру временного ввоза (допуска) морского пассажирского судна, указанного в пункте 1 настоящего Решения, для проведения Восточного экономического форума в г. Владивостоке в 2019 году.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