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9f97" w14:textId="d779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Совета Евразийской экономической комиссии в отношении отдельных видов двигателей и газовых турбин для производства вертолетов</w:t>
      </w:r>
    </w:p>
    <w:p>
      <w:pPr>
        <w:spacing w:after="0"/>
        <w:ind w:left="0"/>
        <w:jc w:val="both"/>
      </w:pPr>
      <w:r>
        <w:rPr>
          <w:rFonts w:ascii="Times New Roman"/>
          <w:b w:val="false"/>
          <w:i w:val="false"/>
          <w:color w:val="000000"/>
          <w:sz w:val="28"/>
        </w:rPr>
        <w:t>Решение Совета Евразийской экономической комиссии от 30 сентября 2019 года № 86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Договора о Евразийском экономическом союзе от 29 мая 2014 года, статьей 3 Протокола о некоторых вопросах ввоза и обращения товаров на таможенной территории Евразийского экономического союза от 16 октября 2015 года и </w:t>
      </w:r>
      <w:r>
        <w:rPr>
          <w:rFonts w:ascii="Times New Roman"/>
          <w:b w:val="false"/>
          <w:i w:val="false"/>
          <w:color w:val="000000"/>
          <w:sz w:val="28"/>
        </w:rPr>
        <w:t>пунктами 21</w:t>
      </w:r>
      <w:r>
        <w:rPr>
          <w:rFonts w:ascii="Times New Roman"/>
          <w:b w:val="false"/>
          <w:i w:val="false"/>
          <w:color w:val="000000"/>
          <w:sz w:val="28"/>
        </w:rPr>
        <w:t xml:space="preserve"> и </w:t>
      </w:r>
      <w:r>
        <w:rPr>
          <w:rFonts w:ascii="Times New Roman"/>
          <w:b w:val="false"/>
          <w:i w:val="false"/>
          <w:color w:val="000000"/>
          <w:sz w:val="28"/>
        </w:rPr>
        <w:t>132</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 перечне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утвержденном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14 октября 2015 г. № 59, позиции с кодами 8411 22 800 9 и 8411 81 000 9 ТН ВЭД ЕАЭС заменить позициями следующего содержания:</w:t>
      </w:r>
    </w:p>
    <w:bookmarkEnd w:id="1"/>
    <w:tbl>
      <w:tblPr>
        <w:tblW w:w="0" w:type="auto"/>
        <w:tblCellSpacing w:w="0" w:type="auto"/>
        <w:tblBorders>
          <w:top w:val="none"/>
          <w:left w:val="none"/>
          <w:bottom w:val="none"/>
          <w:right w:val="none"/>
          <w:insideH w:val="none"/>
          <w:insideV w:val="none"/>
        </w:tblBorders>
      </w:tblPr>
      <w:tblGrid>
        <w:gridCol w:w="6605"/>
        <w:gridCol w:w="4161"/>
        <w:gridCol w:w="1534"/>
      </w:tblGrid>
      <w:tr>
        <w:trPr>
          <w:trHeight w:val="30" w:hRule="atLeast"/>
        </w:trPr>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8</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8411 81 000 8</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6" w:id="2"/>
    <w:p>
      <w:pPr>
        <w:spacing w:after="0"/>
        <w:ind w:left="0"/>
        <w:jc w:val="both"/>
      </w:pPr>
      <w:r>
        <w:rPr>
          <w:rFonts w:ascii="Times New Roman"/>
          <w:b w:val="false"/>
          <w:i w:val="false"/>
          <w:color w:val="000000"/>
          <w:sz w:val="28"/>
        </w:rPr>
        <w:t xml:space="preserve">
      2. В разделе II </w:t>
      </w:r>
      <w:r>
        <w:rPr>
          <w:rFonts w:ascii="Times New Roman"/>
          <w:b w:val="false"/>
          <w:i w:val="false"/>
          <w:color w:val="000000"/>
          <w:sz w:val="28"/>
        </w:rPr>
        <w:t>перечня товаров</w:t>
      </w:r>
      <w:r>
        <w:rPr>
          <w:rFonts w:ascii="Times New Roman"/>
          <w:b w:val="false"/>
          <w:i w:val="false"/>
          <w:color w:val="000000"/>
          <w:sz w:val="28"/>
        </w:rPr>
        <w:t>,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 утвержденного Решением Совета Евразийской экономической комиссии от 13 января 2017 г. № 8, коды "8411 22 800 9, 8411 81 000 9" ТН ВЭД ЕАЭС заменить кодами "8411 22 800 2, 8411 22 800 8, 8411 81 000 2, 8411 81 000 3, 8411 81 000 8" ТН ВЭД ЕАЭС.</w:t>
      </w:r>
    </w:p>
    <w:bookmarkEnd w:id="2"/>
    <w:bookmarkStart w:name="z7" w:id="3"/>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Члены Совета Евразийской экономической комиссии:</w:t>
      </w:r>
    </w:p>
    <w:bookmarkEnd w:id="4"/>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r>
              <w:br/>
            </w: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r>
              <w:br/>
            </w: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 Разаков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Силуанов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