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36db" w14:textId="2b53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18 ноября 2019 года № 102.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 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 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 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40 следующего содержания: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"40. О безопасности парфюмерно-косметической продукции (ТР ТС 009/2011) (изменения № 3 в части уточнения области применения, правил идентификации продукции, дополнения терминами, дополнения правилами обращения на рынке, установления требований к токсикологическим показателям, полученным на основе анализа токсикологических характеристик ингредиентов, установления оценки раздражающего действия на слизистые альтернативными методами in vitro, установления требований к упаковке, установления требований к маркировке и оценке соответствия продукции, попадающей одновременно под действие нескольких технических регламентов Евразийского экономического союза (Таможенного союза))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