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8b65" w14:textId="b3d8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Пояснения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16 апреля 2019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 7 ноября 2017 г. № 21) с учетом изменений согласно приложению.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2019 г. № 12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Пояснения к единой Товарной номенклатуре внешнеэкономической деятельности 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томе II в пояснениях к группе 29 ТН ВЭД ЕАЭС в разделе II перечня наркотических лекарственных средств и психотропных веществ, приведенного в алфавитном порядке по типу лекарственного средства, позицию с наименованием "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-9-Тетрагидроканнабинол"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-9-Тетрагидроканнабинол 2932 95 1972-08-3 2".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томе V: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пояснения к товарной позиции 9027 ТН ВЭД ЕАЭС дополнить пунктом (33)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"(33) Приборы и аппаратура, используемые в медицинских лабораториях для диагностики in vitro.";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пояснения к субпозиции 9031 41 ТН ВЭД ЕАЭС изложить в следующей редакции: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данную субпозицию также включаются оптические приборы и устройства для проверки интегральных схем и оптические приборы и устройства для проверки фотомасок или фотошаблонов, используемых при производстве интегральных схем.".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