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05f3" w14:textId="9470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оценки инклюзивности экономик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октября 2019 года № 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обеспечения инклюзивного экономического роста государств – членов Евразийского экономического союза (далее – государства-члены),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необходимость повышения жизненного уровня населения государств-членов,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создания условий для стабильного развития экономик государств-членов,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обязательства всех государств-членов по достижению Целей в области устойчивого развития Организации Объединенных Наций,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мер социально-экономической политики и оценке их результатов использовать Методику оценки инклюзивности экономик государств – членов Евразийского экономического союза, размещенную на официальном сайте Евразийского экономического союза по адресу: http://eec.eaeunion.org/ru/act/integr_i_makroec/ dep_makroec_pol/ConsultKomitet/Documents/Методика оценки инклюзивности экономик.pdf;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Евразийской экономической комиссией осуществлять оценку степени инклюзивности экономик государств-членов и при необходимости разрабатывать меры для ее повышения.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