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4ef" w14:textId="7c6f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по обеспечению справедливой и добросовестной конкуренции и расширению воздушного сообщения при поэтапном формировании общего рынка услуг воздушного транспорта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ноября 2019 года № 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во исполнение пунктов 12, 13, 15 и 30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в части воздушного транспорта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14 августа 2017 г. № 2, с целью поэтапного формирования общего рынка услуг воздушного транспорта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до 2025 года одновременную реализацию следующих мер: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части обеспечения справедливой и добросовестной конкуренции: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взимании сборов за аэронавигационное и аэропортовое обслуживание применять для эксплуатантов воздушных судов других государств-членов, выполняющих регулярные международные воздушные сообщения между государствами-членами, те же тарифные ставки, что и для своих эксплуатантов;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взаиморасчетах в национальных валютах или валютах третьих стран за аэронавигационное и аэропортовое обслуживание применять для эксплуатантов воздушных судов других государств-членов официальные курсы, установленные национальными (центральными) банками государств-членов на соответствующие календарные даты;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транзитных полетах воздушных судов других государств-членов не допускать взимания дополнительных платежей (компенсационных выплат) за использование своего воздушного пространства;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свое законодательство положения, в соответствии с которыми оказание услуг аэропортов и аэронавигации потребителям других государств-членов осуществляется на условиях не менее благоприятных, чем условия, на которых данные услуги предоставляются своим потребителям;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части расширения воздушного сообщения: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поэтапное снятие существующих ограничений при выполнении регулярных международных воздушных сообщений между государствами-членами по: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договорным линиям по установленным маршрутам (пунктам назначения);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количеству авиапредприятий, назначенных и уполномоченных для эксплуатации договорных линий по установленным маршрутам (перевозчиков);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коммерческой загрузке воздушных судов на маршруте или части маршрута (емкости воздушных судов);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количеству полетов, совершаемых воздушным судном на протяжении определенного периода на маршруте или части маршрута (частоте выполнения полетов);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транзитным пролетам перевозчиков одного государства-члена через воздушное пространство другого государства-члена.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Направлять при необходимости в Евразийскую экономическую комиссию предложения по реализации мер, предусмотренных настоящей Рекомендацией, и информацию о снятии ограничений.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