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507d" w14:textId="ac15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Пояснения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3 декабря 2019 года № 40.</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19 </w:t>
      </w:r>
      <w:r>
        <w:rPr>
          <w:rFonts w:ascii="Times New Roman"/>
          <w:b w:val="false"/>
          <w:i w:val="false"/>
          <w:color w:val="000000"/>
          <w:sz w:val="28"/>
        </w:rPr>
        <w:t xml:space="preserve">Таможенного кодекса Евразийского экономического союза </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w:t>
      </w:r>
    </w:p>
    <w:bookmarkEnd w:id="1"/>
    <w:bookmarkStart w:name="z6" w:id="2"/>
    <w:p>
      <w:pPr>
        <w:spacing w:after="0"/>
        <w:ind w:left="0"/>
        <w:jc w:val="both"/>
      </w:pPr>
      <w:r>
        <w:rPr>
          <w:rFonts w:ascii="Times New Roman"/>
          <w:b w:val="false"/>
          <w:i w:val="false"/>
          <w:color w:val="000000"/>
          <w:sz w:val="28"/>
        </w:rPr>
        <w:t xml:space="preserve">
      Применять Пояснения к единой Товарной номенклатуре внешнеэкономической деятельности Евразийского экономического союза (приложение № 1 к </w:t>
      </w:r>
      <w:r>
        <w:rPr>
          <w:rFonts w:ascii="Times New Roman"/>
          <w:b w:val="false"/>
          <w:i w:val="false"/>
          <w:color w:val="000000"/>
          <w:sz w:val="28"/>
        </w:rPr>
        <w:t>Рекомендации</w:t>
      </w:r>
      <w:r>
        <w:rPr>
          <w:rFonts w:ascii="Times New Roman"/>
          <w:b w:val="false"/>
          <w:i w:val="false"/>
          <w:color w:val="000000"/>
          <w:sz w:val="28"/>
        </w:rPr>
        <w:t xml:space="preserve"> Коллегии Евразийской экономической комиссии от 7 ноября 2017 г. № 21) с учетом изменений согласно приложению.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3 декабря 2019 г. № 40</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Пояснения к единой Товарной номенклатуре внешнеэкономической деятельности Евразийского экономического союза</w:t>
      </w:r>
    </w:p>
    <w:bookmarkEnd w:id="3"/>
    <w:bookmarkStart w:name="z10" w:id="4"/>
    <w:p>
      <w:pPr>
        <w:spacing w:after="0"/>
        <w:ind w:left="0"/>
        <w:jc w:val="both"/>
      </w:pPr>
      <w:r>
        <w:rPr>
          <w:rFonts w:ascii="Times New Roman"/>
          <w:b w:val="false"/>
          <w:i w:val="false"/>
          <w:color w:val="000000"/>
          <w:sz w:val="28"/>
        </w:rPr>
        <w:t xml:space="preserve">
      1. В томе I: </w:t>
      </w:r>
    </w:p>
    <w:bookmarkEnd w:id="4"/>
    <w:bookmarkStart w:name="z11" w:id="5"/>
    <w:p>
      <w:pPr>
        <w:spacing w:after="0"/>
        <w:ind w:left="0"/>
        <w:jc w:val="both"/>
      </w:pPr>
      <w:r>
        <w:rPr>
          <w:rFonts w:ascii="Times New Roman"/>
          <w:b w:val="false"/>
          <w:i w:val="false"/>
          <w:color w:val="000000"/>
          <w:sz w:val="28"/>
        </w:rPr>
        <w:t>
      1) абзац шестой общих положений пояснений к группе 03 ТН ВЭД ЕАЭС изложить в следующей редакции:</w:t>
      </w:r>
    </w:p>
    <w:bookmarkEnd w:id="5"/>
    <w:bookmarkStart w:name="z12" w:id="6"/>
    <w:p>
      <w:pPr>
        <w:spacing w:after="0"/>
        <w:ind w:left="0"/>
        <w:jc w:val="both"/>
      </w:pPr>
      <w:r>
        <w:rPr>
          <w:rFonts w:ascii="Times New Roman"/>
          <w:b w:val="false"/>
          <w:i w:val="false"/>
          <w:color w:val="000000"/>
          <w:sz w:val="28"/>
        </w:rPr>
        <w:t>
      "С другой стороны, рыба и ракообразные, моллюски и прочие водные беспозвоночные включаются в группу 16, если они сварены или приготовлены другим способом, или консервированы способами, не предусмотренными в данной группе (например, филе рыбы, покрытое бездрожжевым тестом или обваленное в панировочных сухарях, отварная рыба). Однако необходимо отметить, что копченая рыба и копченые ракообразные, моллюски и прочие водные беспозвоночные, которые могли быть подвергнуты тепловой обработке в процессе копчения или до него, и ракообразные в панцирях, просто сваренные на пару или в кипящей воде, включаются в товарные позиции 0305, 0306, 0307 и 0308 соответственно. Моллюски, которые были подвергнуты только ошпариванию или другим видам теплового шока (которые не повлекли за собой приготовления как такового), необходимым для того, чтобы открыть раковину или стабилизировать моллюска перед транспортировкой или заморозкой, также включаются в данную группу. Мука тонкого и грубого помола и гранулы, полученные из подвергнутых тепловой обработке рыбы, ракообразных, моллюсков или прочих водных беспозвоночных, включаются в товарные позиции 0305, 0306, 0307 и 0308 соответственно.";</w:t>
      </w:r>
    </w:p>
    <w:bookmarkEnd w:id="6"/>
    <w:bookmarkStart w:name="z13" w:id="7"/>
    <w:p>
      <w:pPr>
        <w:spacing w:after="0"/>
        <w:ind w:left="0"/>
        <w:jc w:val="both"/>
      </w:pPr>
      <w:r>
        <w:rPr>
          <w:rFonts w:ascii="Times New Roman"/>
          <w:b w:val="false"/>
          <w:i w:val="false"/>
          <w:color w:val="000000"/>
          <w:sz w:val="28"/>
        </w:rPr>
        <w:t>
      2) в пояснениях к товарной позиции 0307 ТН ВЭД ЕАЭС:</w:t>
      </w:r>
    </w:p>
    <w:bookmarkEnd w:id="7"/>
    <w:bookmarkStart w:name="z14" w:id="8"/>
    <w:p>
      <w:pPr>
        <w:spacing w:after="0"/>
        <w:ind w:left="0"/>
        <w:jc w:val="both"/>
      </w:pPr>
      <w:r>
        <w:rPr>
          <w:rFonts w:ascii="Times New Roman"/>
          <w:b w:val="false"/>
          <w:i w:val="false"/>
          <w:color w:val="000000"/>
          <w:sz w:val="28"/>
        </w:rPr>
        <w:t>
      а) после пункта (2) дополнить абзацем следующего содержания:</w:t>
      </w:r>
    </w:p>
    <w:bookmarkEnd w:id="8"/>
    <w:bookmarkStart w:name="z15" w:id="9"/>
    <w:p>
      <w:pPr>
        <w:spacing w:after="0"/>
        <w:ind w:left="0"/>
        <w:jc w:val="both"/>
      </w:pPr>
      <w:r>
        <w:rPr>
          <w:rFonts w:ascii="Times New Roman"/>
          <w:b w:val="false"/>
          <w:i w:val="false"/>
          <w:color w:val="000000"/>
          <w:sz w:val="28"/>
        </w:rPr>
        <w:t>
      "В данную товарную позицию также включаются моллюски, которые были подвергнуты только ошпариванию или другим видам теплового шока (которые не повлекли за собой приготовления как такового), необходимым для того, чтобы открыть раковину или стабилизировать моллюска перед транспортировкой или заморозкой.";</w:t>
      </w:r>
    </w:p>
    <w:bookmarkEnd w:id="9"/>
    <w:bookmarkStart w:name="z16" w:id="10"/>
    <w:p>
      <w:pPr>
        <w:spacing w:after="0"/>
        <w:ind w:left="0"/>
        <w:jc w:val="both"/>
      </w:pPr>
      <w:r>
        <w:rPr>
          <w:rFonts w:ascii="Times New Roman"/>
          <w:b w:val="false"/>
          <w:i w:val="false"/>
          <w:color w:val="000000"/>
          <w:sz w:val="28"/>
        </w:rPr>
        <w:t>
      б) в последнем абзаце слова "моллюски, сваренные в воде" заменить словами "моллюски, приготовленные в кипящей воде";</w:t>
      </w:r>
    </w:p>
    <w:bookmarkEnd w:id="10"/>
    <w:bookmarkStart w:name="z17" w:id="11"/>
    <w:p>
      <w:pPr>
        <w:spacing w:after="0"/>
        <w:ind w:left="0"/>
        <w:jc w:val="both"/>
      </w:pPr>
      <w:r>
        <w:rPr>
          <w:rFonts w:ascii="Times New Roman"/>
          <w:b w:val="false"/>
          <w:i w:val="false"/>
          <w:color w:val="000000"/>
          <w:sz w:val="28"/>
        </w:rPr>
        <w:t>
      3) пункт (2) общих положений к группе 16 ТН ВЭД ЕАЭС изложить в следующей редакции:</w:t>
      </w:r>
    </w:p>
    <w:bookmarkEnd w:id="11"/>
    <w:bookmarkStart w:name="z18" w:id="12"/>
    <w:p>
      <w:pPr>
        <w:spacing w:after="0"/>
        <w:ind w:left="0"/>
        <w:jc w:val="both"/>
      </w:pPr>
      <w:r>
        <w:rPr>
          <w:rFonts w:ascii="Times New Roman"/>
          <w:b w:val="false"/>
          <w:i w:val="false"/>
          <w:color w:val="000000"/>
          <w:sz w:val="28"/>
        </w:rPr>
        <w:t>
      "(2) Продукты, сваренные в воде или на пару, жареные, в том числе на гриле, печеные или подвергнутые тепловой обработке, кроме копченой рыбы и копченых ракообразных, моллюсков или прочих водных беспозвоночных, которые могли быть подвергнуты тепловой обработке до или во время копчения (товарные позиции 0305, 0306, 0307 и 0308), ракообразных в панцире, сваренных в кипящей воде или на пару (товарная позиция 0306), моллюсков, которые были подвергнуты только ошпариванию или другим видам теплового шока (которые не повлекли за собой приготовления как такового), необходимым для того, чтобы открыть раковину или стабилизировать моллюска перед транспортировкой или заморозкой (товарная позиция 0307), и муки тонкого и грубого помола и гранул, полученных из подвергнутых тепловой обработке рыбы, ракообразных, моллюсков или прочих водных беспозвоночных (товарные позиции 0305, 0306, 0307 и 0308 соответственно).";</w:t>
      </w:r>
    </w:p>
    <w:bookmarkEnd w:id="12"/>
    <w:bookmarkStart w:name="z19" w:id="13"/>
    <w:p>
      <w:pPr>
        <w:spacing w:after="0"/>
        <w:ind w:left="0"/>
        <w:jc w:val="both"/>
      </w:pPr>
      <w:r>
        <w:rPr>
          <w:rFonts w:ascii="Times New Roman"/>
          <w:b w:val="false"/>
          <w:i w:val="false"/>
          <w:color w:val="000000"/>
          <w:sz w:val="28"/>
        </w:rPr>
        <w:t>
      4) в пояснениях к товарной позиции 1605 ТН ВЭД ЕАЭС:</w:t>
      </w:r>
    </w:p>
    <w:bookmarkEnd w:id="13"/>
    <w:bookmarkStart w:name="z20" w:id="14"/>
    <w:p>
      <w:pPr>
        <w:spacing w:after="0"/>
        <w:ind w:left="0"/>
        <w:jc w:val="both"/>
      </w:pPr>
      <w:r>
        <w:rPr>
          <w:rFonts w:ascii="Times New Roman"/>
          <w:b w:val="false"/>
          <w:i w:val="false"/>
          <w:color w:val="000000"/>
          <w:sz w:val="28"/>
        </w:rPr>
        <w:t>
      а) абзац первый изложить в следующей редакции:</w:t>
      </w:r>
    </w:p>
    <w:bookmarkEnd w:id="14"/>
    <w:bookmarkStart w:name="z21" w:id="15"/>
    <w:p>
      <w:pPr>
        <w:spacing w:after="0"/>
        <w:ind w:left="0"/>
        <w:jc w:val="both"/>
      </w:pPr>
      <w:r>
        <w:rPr>
          <w:rFonts w:ascii="Times New Roman"/>
          <w:b w:val="false"/>
          <w:i w:val="false"/>
          <w:color w:val="000000"/>
          <w:sz w:val="28"/>
        </w:rPr>
        <w:t>
      "Пояснения к товарной позиции 1604, относящиеся к различным состояниям, в которых могут быть представлены продукты данной товарной позиции, применимы, mutatis mutandis, к ракообразным, моллюскам и прочим водным беспозвоночным.";</w:t>
      </w:r>
    </w:p>
    <w:bookmarkEnd w:id="15"/>
    <w:bookmarkStart w:name="z22" w:id="16"/>
    <w:p>
      <w:pPr>
        <w:spacing w:after="0"/>
        <w:ind w:left="0"/>
        <w:jc w:val="both"/>
      </w:pPr>
      <w:r>
        <w:rPr>
          <w:rFonts w:ascii="Times New Roman"/>
          <w:b w:val="false"/>
          <w:i w:val="false"/>
          <w:color w:val="000000"/>
          <w:sz w:val="28"/>
        </w:rPr>
        <w:t>
      б) дополнить абзацем следующего содержания:</w:t>
      </w:r>
    </w:p>
    <w:bookmarkEnd w:id="16"/>
    <w:bookmarkStart w:name="z23" w:id="17"/>
    <w:p>
      <w:pPr>
        <w:spacing w:after="0"/>
        <w:ind w:left="0"/>
        <w:jc w:val="both"/>
      </w:pPr>
      <w:r>
        <w:rPr>
          <w:rFonts w:ascii="Times New Roman"/>
          <w:b w:val="false"/>
          <w:i w:val="false"/>
          <w:color w:val="000000"/>
          <w:sz w:val="28"/>
        </w:rPr>
        <w:t>
      "Однако в данную товарную позицию не включаются ракообразные в панцире, сваренные на пару или в кипящей воде (с добавлением или без добавления небольшого количества пищевых химических консервантов) (товарная позиция 0306), и моллюски, которые были подвергнуты только ошпариванию или другим видам теплового шока (которые не повлекли за собой приготовления как такового), необходимым для того, чтобы открыть раковину или стабилизировать моллюска перед транспортировкой или заморозкой (товарная позиция 0307).";</w:t>
      </w:r>
    </w:p>
    <w:bookmarkEnd w:id="17"/>
    <w:bookmarkStart w:name="z24" w:id="18"/>
    <w:p>
      <w:pPr>
        <w:spacing w:after="0"/>
        <w:ind w:left="0"/>
        <w:jc w:val="both"/>
      </w:pPr>
      <w:r>
        <w:rPr>
          <w:rFonts w:ascii="Times New Roman"/>
          <w:b w:val="false"/>
          <w:i w:val="false"/>
          <w:color w:val="000000"/>
          <w:sz w:val="28"/>
        </w:rPr>
        <w:t>
      5) пояснения к товарной позиции 2621 ТН ВЭД ЕАЭС после пункта (5) дополнить абзацем следующего содержания:</w:t>
      </w:r>
    </w:p>
    <w:bookmarkEnd w:id="18"/>
    <w:bookmarkStart w:name="z25" w:id="19"/>
    <w:p>
      <w:pPr>
        <w:spacing w:after="0"/>
        <w:ind w:left="0"/>
        <w:jc w:val="both"/>
      </w:pPr>
      <w:r>
        <w:rPr>
          <w:rFonts w:ascii="Times New Roman"/>
          <w:b w:val="false"/>
          <w:i w:val="false"/>
          <w:color w:val="000000"/>
          <w:sz w:val="28"/>
        </w:rPr>
        <w:t>
      "В данную товарную позицию не включается микрокремнезем определенного химического состава, получаемый в качестве побочного продукта при производстве кремния, ферросилиция и циркония, используемый главным образом в качестве пуццолановой добавки в бетоне, фиброцементе или огнеупорных бетонах, а также в качестве добавки в полимерах (товарная позиция 2811).";</w:t>
      </w:r>
    </w:p>
    <w:bookmarkEnd w:id="19"/>
    <w:bookmarkStart w:name="z26" w:id="20"/>
    <w:p>
      <w:pPr>
        <w:spacing w:after="0"/>
        <w:ind w:left="0"/>
        <w:jc w:val="both"/>
      </w:pPr>
      <w:r>
        <w:rPr>
          <w:rFonts w:ascii="Times New Roman"/>
          <w:b w:val="false"/>
          <w:i w:val="false"/>
          <w:color w:val="000000"/>
          <w:sz w:val="28"/>
        </w:rPr>
        <w:t>
      6) в части (М) пояснений к товарной позиции 2811 ТН ВЭД ЕАЭС:</w:t>
      </w:r>
    </w:p>
    <w:bookmarkEnd w:id="20"/>
    <w:bookmarkStart w:name="z27" w:id="21"/>
    <w:p>
      <w:pPr>
        <w:spacing w:after="0"/>
        <w:ind w:left="0"/>
        <w:jc w:val="both"/>
      </w:pPr>
      <w:r>
        <w:rPr>
          <w:rFonts w:ascii="Times New Roman"/>
          <w:b w:val="false"/>
          <w:i w:val="false"/>
          <w:color w:val="000000"/>
          <w:sz w:val="28"/>
        </w:rPr>
        <w:t>
      а) в предложении первом абзаца третьего слово "приборов" заменить словами "изделий из стекла";</w:t>
      </w:r>
    </w:p>
    <w:bookmarkEnd w:id="21"/>
    <w:bookmarkStart w:name="z28" w:id="22"/>
    <w:p>
      <w:pPr>
        <w:spacing w:after="0"/>
        <w:ind w:left="0"/>
        <w:jc w:val="both"/>
      </w:pPr>
      <w:r>
        <w:rPr>
          <w:rFonts w:ascii="Times New Roman"/>
          <w:b w:val="false"/>
          <w:i w:val="false"/>
          <w:color w:val="000000"/>
          <w:sz w:val="28"/>
        </w:rPr>
        <w:t>
      б) в предложении третьем абзаца третьего слова "Синтетический диоксид кремния, или "белая сажа"" заменить словами "Коллоидный (пирогенный) диоксид кремния";</w:t>
      </w:r>
    </w:p>
    <w:bookmarkEnd w:id="22"/>
    <w:bookmarkStart w:name="z29" w:id="23"/>
    <w:p>
      <w:pPr>
        <w:spacing w:after="0"/>
        <w:ind w:left="0"/>
        <w:jc w:val="both"/>
      </w:pPr>
      <w:r>
        <w:rPr>
          <w:rFonts w:ascii="Times New Roman"/>
          <w:b w:val="false"/>
          <w:i w:val="false"/>
          <w:color w:val="000000"/>
          <w:sz w:val="28"/>
        </w:rPr>
        <w:t>
      в) абзац третий дополнить предложением следующего содержания:</w:t>
      </w:r>
    </w:p>
    <w:bookmarkEnd w:id="23"/>
    <w:bookmarkStart w:name="z30" w:id="24"/>
    <w:p>
      <w:pPr>
        <w:spacing w:after="0"/>
        <w:ind w:left="0"/>
        <w:jc w:val="both"/>
      </w:pPr>
      <w:r>
        <w:rPr>
          <w:rFonts w:ascii="Times New Roman"/>
          <w:b w:val="false"/>
          <w:i w:val="false"/>
          <w:color w:val="000000"/>
          <w:sz w:val="28"/>
        </w:rPr>
        <w:t>
      "Микрокремнезем (получаемый в качестве побочного продукта при производстве кремния, феросилиция и циркония) также используется главным образом в качестве пуццолановой добавки в бетоне, фиброцементе или огнеупорных бетонах, а также в качестве добавки в полимерах.";</w:t>
      </w:r>
    </w:p>
    <w:bookmarkEnd w:id="24"/>
    <w:bookmarkStart w:name="z31" w:id="25"/>
    <w:p>
      <w:pPr>
        <w:spacing w:after="0"/>
        <w:ind w:left="0"/>
        <w:jc w:val="both"/>
      </w:pPr>
      <w:r>
        <w:rPr>
          <w:rFonts w:ascii="Times New Roman"/>
          <w:b w:val="false"/>
          <w:i w:val="false"/>
          <w:color w:val="000000"/>
          <w:sz w:val="28"/>
        </w:rPr>
        <w:t>
      г) пункт (а) исключений после слов "природный кремнезем" дополнить словами ", например, кварц и диатомовая земля".</w:t>
      </w:r>
    </w:p>
    <w:bookmarkEnd w:id="25"/>
    <w:bookmarkStart w:name="z32" w:id="26"/>
    <w:p>
      <w:pPr>
        <w:spacing w:after="0"/>
        <w:ind w:left="0"/>
        <w:jc w:val="both"/>
      </w:pPr>
      <w:r>
        <w:rPr>
          <w:rFonts w:ascii="Times New Roman"/>
          <w:b w:val="false"/>
          <w:i w:val="false"/>
          <w:color w:val="000000"/>
          <w:sz w:val="28"/>
        </w:rPr>
        <w:t>
      2. В томе II:</w:t>
      </w:r>
    </w:p>
    <w:bookmarkEnd w:id="26"/>
    <w:bookmarkStart w:name="z33" w:id="27"/>
    <w:p>
      <w:pPr>
        <w:spacing w:after="0"/>
        <w:ind w:left="0"/>
        <w:jc w:val="both"/>
      </w:pPr>
      <w:r>
        <w:rPr>
          <w:rFonts w:ascii="Times New Roman"/>
          <w:b w:val="false"/>
          <w:i w:val="false"/>
          <w:color w:val="000000"/>
          <w:sz w:val="28"/>
        </w:rPr>
        <w:t>
      1) в пункте (3) исключений пояснений к товарной позиции 2938 ТН ВЭД ЕАЭС слово "</w:t>
      </w:r>
    </w:p>
    <w:bookmarkEnd w:id="27"/>
    <w:p>
      <w:pPr>
        <w:spacing w:after="0"/>
        <w:ind w:left="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 cy="546100"/>
                    </a:xfrm>
                    <a:prstGeom prst="rect">
                      <a:avLst/>
                    </a:prstGeom>
                  </pic:spPr>
                </pic:pic>
              </a:graphicData>
            </a:graphic>
          </wp:inline>
        </w:drawing>
      </w:r>
    </w:p>
    <w:p>
      <w:pPr>
        <w:spacing w:after="0"/>
        <w:ind w:left="0"/>
        <w:jc w:val="left"/>
      </w:pPr>
      <w:r>
        <w:rPr>
          <w:rFonts w:ascii="Times New Roman"/>
          <w:b w:val="false"/>
          <w:i w:val="false"/>
          <w:color w:val="000000"/>
          <w:sz w:val="28"/>
        </w:rPr>
        <w:t>-метилгликозид, " исключить;</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2) перечень наркотических лекарственных средств и психотропных веществ, приведенный в алфавитном порядке по типу лекарственного средства, изложить в следующей редакции: </w:t>
      </w:r>
    </w:p>
    <w:bookmarkEnd w:id="28"/>
    <w:bookmarkStart w:name="z35" w:id="29"/>
    <w:p>
      <w:pPr>
        <w:spacing w:after="0"/>
        <w:ind w:left="0"/>
        <w:jc w:val="left"/>
      </w:pPr>
      <w:r>
        <w:rPr>
          <w:rFonts w:ascii="Times New Roman"/>
          <w:b/>
          <w:i w:val="false"/>
          <w:color w:val="000000"/>
        </w:rPr>
        <w:t xml:space="preserve"> "Перечень</w:t>
      </w:r>
      <w:r>
        <w:br/>
      </w:r>
      <w:r>
        <w:rPr>
          <w:rFonts w:ascii="Times New Roman"/>
          <w:b/>
          <w:i w:val="false"/>
          <w:color w:val="000000"/>
        </w:rPr>
        <w:t>наркотических лекарственных средств и психотропных веществ, приведенный в алфавитном порядке по типу лекарственного средства</w:t>
      </w:r>
    </w:p>
    <w:bookmarkEnd w:id="29"/>
    <w:tbl>
      <w:tblPr>
        <w:tblW w:w="0" w:type="auto"/>
        <w:tblCellSpacing w:w="0" w:type="auto"/>
        <w:tblBorders>
          <w:top w:val="none"/>
          <w:left w:val="none"/>
          <w:bottom w:val="none"/>
          <w:right w:val="none"/>
          <w:insideH w:val="none"/>
          <w:insideV w:val="none"/>
        </w:tblBorders>
      </w:tblPr>
      <w:tblGrid>
        <w:gridCol w:w="5598"/>
        <w:gridCol w:w="1174"/>
        <w:gridCol w:w="1561"/>
        <w:gridCol w:w="1415"/>
        <w:gridCol w:w="2174"/>
        <w:gridCol w:w="6"/>
        <w:gridCol w:w="372"/>
      </w:tblGrid>
      <w:tr>
        <w:trPr>
          <w:trHeight w:val="30" w:hRule="atLeast"/>
        </w:trPr>
        <w:tc>
          <w:tcPr>
            <w:tcW w:w="55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Наркотические лекарственные средства, подлежащие контролю в соответствии с Единой конвенцией о наркотических лекарственных средствах 1961 года и изменениями согласно Протоколу 1972 года.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 ТН ВЭД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списка Конвенции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AH-7921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U-47700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6-Ацетилморфин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Акрилоилфентанил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L-Альфацетилметадол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Аллилпродин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25384-17-2</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Аллилпродина гидрохлорид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Алфентанил (INN)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71195-58-9</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69049-06-5</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Альфацетилметадол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17199-58-5</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Альфацетилметадола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Альфамепродин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468-51-9</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17199-54-1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Альфапродин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77-20-3</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Альфапродина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561-78-4</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144-14-9</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Анилеридина дигидрохлорид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126-12-5</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4268-37-5</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Ацетилдигидрокодеин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3861-72-1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Ацетилдигидрокодеина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509-74-0</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Ацетил--метилфентанил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25333-77-1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25333-78-2</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Безитрамид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15301-48-1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Безитрамида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Бензетидин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3691-78-9</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Бензетидина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14297-87-1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630-86-4</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Бензилморфина мезилат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Бетацетилметадол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17199-59-6</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Бетамепродин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468-50-8</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17199-55-2</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Бетапродин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468-59-7</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Бетапродина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Бутирфентанил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цис</w:t>
            </w:r>
            <w:r>
              <w:rPr>
                <w:rFonts w:ascii="Times New Roman"/>
                <w:b w:val="false"/>
                <w:i w:val="false"/>
                <w:color w:val="000000"/>
                <w:sz w:val="20"/>
              </w:rPr>
              <w:t>-</w:t>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-Гидрокси-3-</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-метилфентанил</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-Гидроксифентанил</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-Гидроксифентанила гидрохлорид</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-Гидрокси-3-метилфентанил</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-Гидрокси-3-метилфентанила гидрохлорид</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Героин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561-27-3</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1502-95-0</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Героина метилйодид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Гидроксипетидин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468-56-4</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Гидроксипетидина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гидройодид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25968-91-6</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143-71-5</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метилйодид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34366-67-1</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резинат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Гидрокодона терефталат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Гидроморфинол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2183-56-4</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Гидроморфинола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Гидроморфинола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Гидроморфона 3-глюкуронид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Гидроморфона терефталат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Дезоморфина гидробромид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Декстроморамид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Декстроморамида дигидрохлорид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Декстроморамида гидрохлорид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Декстроморамида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Декстропропоксифена резинат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Диампромид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Диампромида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Дигидроизоморфин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Дигидроизоморфина 6-глюкуронид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24204-13-5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Дигидрокодеина резинат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Дигидрокодеина тиоцианат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Дигидроморфин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Дигидроморфина гидройодид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Дигидроморфина пикрат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Дигидроэторфин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Дименоксадол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Дименоксадола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Диметилтиамбутен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Диметилтиамбутена гидрохлорид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Димефептанол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Димефептанола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Диоксафетилбутират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Диоксафетилбутирата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Дипипанон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Дипипанона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Дипипанона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75783-06-1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3810-80-8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28782-42-5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35607-36-4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Диэтилтиамбутен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Диэтилтиамбутена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Дротебанол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-Изометадон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w:t>
            </w:r>
            <w:r>
              <w:rPr>
                <w:rFonts w:ascii="Times New Roman"/>
                <w:b w:val="false"/>
                <w:i w:val="false"/>
                <w:color w:val="000000"/>
                <w:sz w:val="20"/>
              </w:rPr>
              <w:t>-Изометадон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Изометадон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Изометадона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Изометадона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-Кокаин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Кетобемидон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Кетобемидона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5965-49-1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Клонитазен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Клонитазена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Клонитазена мезилат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Кодеин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ацетат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аллобарбитурат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барбитурат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камфосульфонат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циклобарбитурат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циклопентобарбитурат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6-глюкуронид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гидройодид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метилбромид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фенобарбитурат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резинат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салицилат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Кодеин-N-оксид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3688-65-1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Кодеин-N-оксида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Кодоксим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7125-76-0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Кокаина бензоат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борат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формиат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гидройодид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лактат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нитрат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салицилат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Кокаина 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 лист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Конопли экстракты и настойки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Конопли масло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Конопли смола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Концентрат маковой соломки</w:t>
            </w:r>
            <w:r>
              <w:br/>
            </w:r>
            <w:r>
              <w:rPr>
                <w:rFonts w:ascii="Times New Roman"/>
                <w:b w:val="false"/>
                <w:i w:val="false"/>
                <w:color w:val="000000"/>
                <w:sz w:val="20"/>
              </w:rPr>
              <w:t>
 </w:t>
            </w:r>
          </w:p>
          <w:bookmarkEnd w:id="30"/>
        </w:tc>
        <w:tc>
          <w:tcPr>
            <w:tcW w:w="0" w:type="auto"/>
            <w:gridSpan w:val="2"/>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1302 11</w:t>
            </w:r>
            <w:r>
              <w:br/>
            </w:r>
            <w:r>
              <w:rPr>
                <w:rFonts w:ascii="Times New Roman"/>
                <w:b w:val="false"/>
                <w:i w:val="false"/>
                <w:color w:val="000000"/>
                <w:sz w:val="20"/>
              </w:rPr>
              <w:t>
2939 11</w:t>
            </w:r>
          </w:p>
          <w:bookmarkEnd w:id="31"/>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Левацетилметадол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34433-66-4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Левометорфан (INN) </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val="false"/>
                <w:color w:val="000000"/>
                <w:vertAlign w:val="superscript"/>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Левометорфана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Левометорфана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Левоморамид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5666-11-5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Левоморамида дигидрохлорид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Левопропоксифен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2338-37-6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Леворфанол (INN) </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val="false"/>
                <w:color w:val="000000"/>
                <w:vertAlign w:val="superscript"/>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Левофенацилморфан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Левофенацилморфана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Левофенацилморфан метилсульфонат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прицветниковый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цис</w:t>
            </w:r>
            <w:r>
              <w:rPr>
                <w:rFonts w:ascii="Times New Roman"/>
                <w:b w:val="false"/>
                <w:i w:val="false"/>
                <w:color w:val="000000"/>
                <w:sz w:val="20"/>
              </w:rPr>
              <w:t>-3-Метилтиофентанил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цис</w:t>
            </w:r>
            <w:r>
              <w:rPr>
                <w:rFonts w:ascii="Times New Roman"/>
                <w:b w:val="false"/>
                <w:i w:val="false"/>
                <w:color w:val="000000"/>
                <w:sz w:val="20"/>
              </w:rPr>
              <w:t>-3-Метилтиофентанила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546100"/>
                          </a:xfrm>
                          <a:prstGeom prst="rect">
                            <a:avLst/>
                          </a:prstGeom>
                        </pic:spPr>
                      </pic:pic>
                    </a:graphicData>
                  </a:graphic>
                </wp:inline>
              </w:drawing>
            </w:r>
          </w:p>
          <w:p>
            <w:pPr>
              <w:spacing w:after="0"/>
              <w:ind w:left="0"/>
              <w:jc w:val="both"/>
            </w:pPr>
            <w:r>
              <w:rPr>
                <w:rFonts w:ascii="Times New Roman"/>
                <w:b w:val="false"/>
                <w:i w:val="false"/>
                <w:color w:val="000000"/>
                <w:sz w:val="20"/>
              </w:rPr>
              <w:t>-Метилфентанил</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546100"/>
                          </a:xfrm>
                          <a:prstGeom prst="rect">
                            <a:avLst/>
                          </a:prstGeom>
                        </pic:spPr>
                      </pic:pic>
                    </a:graphicData>
                  </a:graphic>
                </wp:inline>
              </w:drawing>
            </w:r>
          </w:p>
          <w:p>
            <w:pPr>
              <w:spacing w:after="0"/>
              <w:ind w:left="0"/>
              <w:jc w:val="both"/>
            </w:pPr>
            <w:r>
              <w:rPr>
                <w:rFonts w:ascii="Times New Roman"/>
                <w:b w:val="false"/>
                <w:i w:val="false"/>
                <w:color w:val="000000"/>
                <w:sz w:val="20"/>
              </w:rPr>
              <w:t>-Метилфентанила гидрохлорид</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546100"/>
                          </a:xfrm>
                          <a:prstGeom prst="rect">
                            <a:avLst/>
                          </a:prstGeom>
                        </pic:spPr>
                      </pic:pic>
                    </a:graphicData>
                  </a:graphic>
                </wp:inline>
              </w:drawing>
            </w:r>
          </w:p>
          <w:p>
            <w:pPr>
              <w:spacing w:after="0"/>
              <w:ind w:left="0"/>
              <w:jc w:val="both"/>
            </w:pPr>
            <w:r>
              <w:rPr>
                <w:rFonts w:ascii="Times New Roman"/>
                <w:b w:val="false"/>
                <w:i w:val="false"/>
                <w:color w:val="000000"/>
                <w:sz w:val="20"/>
              </w:rPr>
              <w:t>-Метилтиофентанил</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546100"/>
                          </a:xfrm>
                          <a:prstGeom prst="rect">
                            <a:avLst/>
                          </a:prstGeom>
                        </pic:spPr>
                      </pic:pic>
                    </a:graphicData>
                  </a:graphic>
                </wp:inline>
              </w:drawing>
            </w:r>
          </w:p>
          <w:p>
            <w:pPr>
              <w:spacing w:after="0"/>
              <w:ind w:left="0"/>
              <w:jc w:val="both"/>
            </w:pPr>
            <w:r>
              <w:rPr>
                <w:rFonts w:ascii="Times New Roman"/>
                <w:b w:val="false"/>
                <w:i w:val="false"/>
                <w:color w:val="000000"/>
                <w:sz w:val="20"/>
              </w:rPr>
              <w:t>-Метилтиофентанила гидрохлорид</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-Метадон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-Метадона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w:t>
            </w:r>
            <w:r>
              <w:rPr>
                <w:rFonts w:ascii="Times New Roman"/>
                <w:b w:val="false"/>
                <w:i w:val="false"/>
                <w:color w:val="000000"/>
                <w:sz w:val="20"/>
              </w:rPr>
              <w:t>-Метадол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w:t>
            </w:r>
            <w:r>
              <w:rPr>
                <w:rFonts w:ascii="Times New Roman"/>
                <w:b w:val="false"/>
                <w:i w:val="false"/>
                <w:color w:val="000000"/>
                <w:sz w:val="20"/>
              </w:rPr>
              <w:t>-Метадон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w:t>
            </w:r>
            <w:r>
              <w:rPr>
                <w:rFonts w:ascii="Times New Roman"/>
                <w:b w:val="false"/>
                <w:i w:val="false"/>
                <w:color w:val="000000"/>
                <w:sz w:val="20"/>
              </w:rPr>
              <w:t>-Метадона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w:t>
            </w:r>
            <w:r>
              <w:rPr>
                <w:rFonts w:ascii="Times New Roman"/>
                <w:b w:val="false"/>
                <w:i w:val="false"/>
                <w:color w:val="000000"/>
                <w:sz w:val="20"/>
              </w:rPr>
              <w:t>-Метадона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(INN) – промежуточный продукт 4-циано-2-диметиламино-4,4-дифенилбутан или 2-диметиламино-4,4-дифенил-4-цианобутан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Метазоцин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3734-52-9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Метазоцина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Метазоцина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Метилдезорфин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Метилдезорфина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Метилдигидроморфин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Морамид – промежуточный продукт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Морферидин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Морферидина дигидрохлорид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Морферидина пикрат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Морфин-N-оксид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Морфин-N-оксида хинат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3,6-диглюкуронид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3-глюкуронид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6-глюкуронид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3-</w:t>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-D-глюкуронид</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6-</w:t>
            </w:r>
          </w:p>
          <w:p>
            <w:pPr>
              <w:spacing w:after="20"/>
              <w:ind w:left="2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482600"/>
                          </a:xfrm>
                          <a:prstGeom prst="rect">
                            <a:avLst/>
                          </a:prstGeom>
                        </pic:spPr>
                      </pic:pic>
                    </a:graphicData>
                  </a:graphic>
                </wp:inline>
              </w:drawing>
            </w:r>
          </w:p>
          <w:p>
            <w:pPr>
              <w:spacing w:after="0"/>
              <w:ind w:left="0"/>
              <w:jc w:val="both"/>
            </w:pPr>
            <w:r>
              <w:rPr>
                <w:rFonts w:ascii="Times New Roman"/>
                <w:b w:val="false"/>
                <w:i w:val="false"/>
                <w:color w:val="000000"/>
                <w:sz w:val="20"/>
              </w:rPr>
              <w:t>-D-глюкуронид</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ацетат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валерат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диметиловый простой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глюконат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гипофосфит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изобутират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лактат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меконат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метилбромид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метилхлорид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метилйодид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метилсульфонат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метобромид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мукат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нитрат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стеарат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фенилпропионат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фталат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MППП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MППП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Напсилат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17140-78-2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Никокодин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Никокодина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Никодикодин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Норациметадол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Норациметадола глюконат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Норациметадола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Норкодеина ацетат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Норкодеина гидройодид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Норкодеина нитрат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Норкодеина платинихлорид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Норкодеина сульфат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Норлеворфанол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Норлеворфанола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Норлеворфанола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Норметадона 2,6-ди-</w:t>
            </w:r>
            <w:r>
              <w:rPr>
                <w:rFonts w:ascii="Times New Roman"/>
                <w:b w:val="false"/>
                <w:i/>
                <w:color w:val="000000"/>
                <w:sz w:val="20"/>
              </w:rPr>
              <w:t>трет</w:t>
            </w:r>
            <w:r>
              <w:rPr>
                <w:rFonts w:ascii="Times New Roman"/>
                <w:b w:val="false"/>
                <w:i w:val="false"/>
                <w:color w:val="000000"/>
                <w:sz w:val="20"/>
              </w:rPr>
              <w:t xml:space="preserve">-бутилнафталиндисульфонат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Норметадона метилйодид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Норметадона оксалат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Норметадона пикрат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 (INN) – промежуточный продукт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Норпипанон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Норпипанона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Норпипанона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камфосульфонат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пектинат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фенилпропионат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Оксикодона терефталат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Оксиморфон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Оксиморфона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Опий готовый</w:t>
            </w:r>
            <w:r>
              <w:br/>
            </w:r>
            <w:r>
              <w:rPr>
                <w:rFonts w:ascii="Times New Roman"/>
                <w:b w:val="false"/>
                <w:i w:val="false"/>
                <w:color w:val="000000"/>
                <w:sz w:val="20"/>
              </w:rPr>
              <w:t>
 </w:t>
            </w:r>
          </w:p>
          <w:bookmarkEnd w:id="32"/>
        </w:tc>
        <w:tc>
          <w:tcPr>
            <w:tcW w:w="0" w:type="auto"/>
            <w:gridSpan w:val="2"/>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1302 19</w:t>
            </w:r>
            <w:r>
              <w:br/>
            </w:r>
            <w:r>
              <w:rPr>
                <w:rFonts w:ascii="Times New Roman"/>
                <w:b w:val="false"/>
                <w:i w:val="false"/>
                <w:color w:val="000000"/>
                <w:sz w:val="20"/>
              </w:rPr>
              <w:t>
2939 11</w:t>
            </w:r>
          </w:p>
          <w:bookmarkEnd w:id="33"/>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Опий, смесь алкалоидов</w:t>
            </w:r>
            <w:r>
              <w:br/>
            </w:r>
            <w:r>
              <w:rPr>
                <w:rFonts w:ascii="Times New Roman"/>
                <w:b w:val="false"/>
                <w:i w:val="false"/>
                <w:color w:val="000000"/>
                <w:sz w:val="20"/>
              </w:rPr>
              <w:t>
 </w:t>
            </w:r>
          </w:p>
          <w:bookmarkEnd w:id="34"/>
        </w:tc>
        <w:tc>
          <w:tcPr>
            <w:tcW w:w="0" w:type="auto"/>
            <w:gridSpan w:val="2"/>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1302 11 </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val="false"/>
                <w:color w:val="000000"/>
                <w:vertAlign w:val="superscript"/>
              </w:rPr>
              <w:t>)</w:t>
            </w:r>
            <w:r>
              <w:br/>
            </w:r>
            <w:r>
              <w:rPr>
                <w:rFonts w:ascii="Times New Roman"/>
                <w:b w:val="false"/>
                <w:i w:val="false"/>
                <w:color w:val="000000"/>
                <w:sz w:val="20"/>
              </w:rPr>
              <w:t xml:space="preserve">
 2939 11 </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val="false"/>
                <w:color w:val="000000"/>
                <w:vertAlign w:val="superscript"/>
              </w:rPr>
              <w:t>)</w:t>
            </w:r>
          </w:p>
          <w:bookmarkEnd w:id="35"/>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Орипавин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Орипавина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ПЕПАП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ПЕПАП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 (INN) – промежуточный продукт 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 (INN) – промежуточный продукт 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Петидина – промежуточного продукта В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Петидина – промежуточного продукта В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 (INN) – промежуточный продукт 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13495-09-5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Пиминодина дигидрохлорид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Пиминодина эзилат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7081-52-9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Пиритрамид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Прогептазин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Прогептазина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Прогептазина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Прогептазина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Проперидин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Проперидина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Пропирам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15686-91-6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Пропирама фумарат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Рацеметорфан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Рацеметорфана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Рацеметорфана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Рацеморамид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Рацеморамида дигидрохлорид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Рацеморамида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Рацеморамида 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Рацеморфан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Рацеморфана гидробромид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Рацеморфана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Рацеморфана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56030-54-7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Тебаина оксалат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Тебаина салицилат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Тебакон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Тебакона гидрохлорид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20236-82-2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Тетрагидрофуранилфентанил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20380-58-9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27107-79-5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Тиофентанила ацетат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4-Фторизобутирфентанил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w:t>
            </w:r>
            <w:r>
              <w:rPr>
                <w:rFonts w:ascii="Times New Roman"/>
                <w:b w:val="false"/>
                <w:i w:val="false"/>
                <w:color w:val="000000"/>
                <w:sz w:val="20"/>
              </w:rPr>
              <w:t>-Фторфентанил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w:t>
            </w:r>
            <w:r>
              <w:rPr>
                <w:rFonts w:ascii="Times New Roman"/>
                <w:b w:val="false"/>
                <w:i w:val="false"/>
                <w:color w:val="000000"/>
                <w:sz w:val="20"/>
              </w:rPr>
              <w:t>-Фторфентанила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Фенадоксон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Фенадоксона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Фенампромид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Фенампромида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Феназоцин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Феназоцина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Феназоцина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7303-75-5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Феназоцина мезилат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Феноморфан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Феноморфана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Феноморфана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Феноморфана метилбромид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Феноперидин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Феноперидина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гидротартрат (битартрат)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цитрат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гваяколсульфонат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фенилацетат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фосфат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Фолкодина тартрат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7369-11-1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Фуранилфентанил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Фуретидин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Фуретидина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Фуретидина метилйодид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Фуретидина пикрат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 его сложные эфиры и производные, которые могут быть превращены в экгонин и кокаин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бензоилэтиловый сложный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бензоилпропиловый сложный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циннамоилметиловый сложный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2,6диметилбензоилметиловый сложный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Экгонина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-гидроксибензоиловый сложный эфир</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метиловый сложный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метилового сложного эфира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Экгонина фенилацетилметиловый сложный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Этилметилтиамбутен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Этилметилтиамбутена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Этилморфина камфосульфонат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Этилморфина гидробромид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Этилморфина метилйодид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Этилморфина фенобарбитурат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Этонитазен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Этонитазена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Эторфин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Эторфина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13764-49-3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Эторфина 3-метиловый простой эфир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Этоксэридин (INN)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Этоксэридина гидрохлорид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13"/>
        <w:gridCol w:w="1972"/>
        <w:gridCol w:w="2747"/>
        <w:gridCol w:w="468"/>
      </w:tblGrid>
      <w:tr>
        <w:trPr>
          <w:trHeight w:val="30" w:hRule="atLeast"/>
        </w:trPr>
        <w:tc>
          <w:tcPr>
            <w:tcW w:w="71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Психотропные вещества, подлежащие контролю в соответствии с Конвенцией о психотропных веществах 1971 года.
</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 ТН ВЭД</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списка Конвенции</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AB-CHMINACA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AB-PINACA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AM-2201; JWH-2201</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25B-NBOMe; 2C-B-NBOMe</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25B-NBOMe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25C-NBOMe; 2C-C-NBOMe</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25C-NBOMe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4,4’-DMAR; 4,4’-Диметиламинорекс</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DMHP</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DMT</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DMT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DMT метилйодид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DOET</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DOET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5F-ADB; 5F-MDMB-PINACA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5F-APINACA; 5F-AKB-48</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5F-PB-22</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GHB</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GHB натрия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25I-NBOMe; 2C-I-NBOMe</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25I-NBOMe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 AM-678</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MDE, N-этил MDA, MDEA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MDMB-CHMICA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MDPV</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MDPV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MMDA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MMDA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4-MTA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4-MTA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 MDA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 MDA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 MDA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 MDA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546100"/>
                          </a:xfrm>
                          <a:prstGeom prst="rect">
                            <a:avLst/>
                          </a:prstGeom>
                        </pic:spPr>
                      </pic:pic>
                    </a:graphicData>
                  </a:graphic>
                </wp:inline>
              </w:drawing>
            </w:r>
          </w:p>
          <w:p>
            <w:pPr>
              <w:spacing w:after="0"/>
              <w:ind w:left="0"/>
              <w:jc w:val="both"/>
            </w:pPr>
            <w:r>
              <w:rPr>
                <w:rFonts w:ascii="Times New Roman"/>
                <w:b w:val="false"/>
                <w:i w:val="false"/>
                <w:color w:val="000000"/>
                <w:sz w:val="20"/>
              </w:rPr>
              <w:t>-PVP</w:t>
            </w:r>
            <w:r>
              <w:br/>
            </w:r>
            <w:r>
              <w:rPr>
                <w:rFonts w:ascii="Times New Roman"/>
                <w:b w:val="false"/>
                <w:i w:val="false"/>
                <w:color w:val="000000"/>
                <w:sz w:val="20"/>
              </w:rPr>
              <w:t>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546100"/>
                          </a:xfrm>
                          <a:prstGeom prst="rect">
                            <a:avLst/>
                          </a:prstGeom>
                        </pic:spPr>
                      </pic:pic>
                    </a:graphicData>
                  </a:graphic>
                </wp:inline>
              </w:drawing>
            </w:r>
          </w:p>
          <w:p>
            <w:pPr>
              <w:spacing w:after="0"/>
              <w:ind w:left="0"/>
              <w:jc w:val="both"/>
            </w:pPr>
            <w:r>
              <w:rPr>
                <w:rFonts w:ascii="Times New Roman"/>
                <w:b w:val="false"/>
                <w:i w:val="false"/>
                <w:color w:val="000000"/>
                <w:sz w:val="20"/>
              </w:rPr>
              <w:t>-PVP гидрохлорид</w:t>
            </w:r>
            <w:r>
              <w:br/>
            </w:r>
            <w:r>
              <w:rPr>
                <w:rFonts w:ascii="Times New Roman"/>
                <w:b w:val="false"/>
                <w:i w:val="false"/>
                <w:color w:val="000000"/>
                <w:sz w:val="20"/>
              </w:rPr>
              <w:t>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STP, DOM</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15588-95-1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STP, DOM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UR-144</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XLR-11</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-9-Тетрагидроканнабинол</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1972-08-3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Аллобарбитала аминофеназон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28981-97-7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Аминептин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Аминептина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2207-50-3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Аминорекса фумарат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 натрия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Амфепрамона глутамат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Амфетамина </w:t>
            </w:r>
            <w:r>
              <w:rPr>
                <w:rFonts w:ascii="Times New Roman"/>
                <w:b w:val="false"/>
                <w:i/>
                <w:color w:val="000000"/>
                <w:sz w:val="20"/>
              </w:rPr>
              <w:t>п</w:t>
            </w:r>
            <w:r>
              <w:rPr>
                <w:rFonts w:ascii="Times New Roman"/>
                <w:b w:val="false"/>
                <w:i w:val="false"/>
                <w:color w:val="000000"/>
                <w:sz w:val="20"/>
              </w:rPr>
              <w:t>-аминофенилацетат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Амфетамина </w:t>
            </w:r>
            <w:r>
              <w:rPr>
                <w:rFonts w:ascii="Times New Roman"/>
                <w:b w:val="false"/>
                <w:i/>
                <w:color w:val="000000"/>
                <w:sz w:val="20"/>
              </w:rPr>
              <w:t>п</w:t>
            </w:r>
            <w:r>
              <w:rPr>
                <w:rFonts w:ascii="Times New Roman"/>
                <w:b w:val="false"/>
                <w:i w:val="false"/>
                <w:color w:val="000000"/>
                <w:sz w:val="20"/>
              </w:rPr>
              <w:t>-хлорфеноксиацетат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адипат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аспартат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ацетилсалицилат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гидротартрат (битартрат)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пентабарбитурат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таннат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Амфетамина фосфат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 кальция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 магния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 натрия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 Бензилпиперазин; BZP</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N-Бензилпиперазина дигидрохлорид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5411-22-3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Броламфетамин (INN) (DOB)</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64638-07-9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Броламфетамина (DOB)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1812-30-2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Бротизолам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57801-81-7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52485-79-7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53152-21-9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Бупренорфина гидротартрат (битартрат)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2430-49-1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23092-17-3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59128-97-1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Глутетимид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адипат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гидротартрат (битартрат)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карбоксиметилцеллюлоза</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пентобарбитурат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сахарат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таннат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Дексамфетамина фосфат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7528-00-9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2894-67-9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Дронабинол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Зипепрол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34758-83-3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Зипепрола дигидрохлорид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Золпидема гемитартрат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36104-80-0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2153-98-2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Катина фенобарбитурат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71031-15-7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27223-35-4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22316-47-8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24166-13-0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1622-61-3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 дикалия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57109-90-7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 калия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5991-71-9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Левамфетамина альгинат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Левамфетамина сукцинат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5634-40-2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7262-75-1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14148-99-3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(+)-Лизергида 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(INN), LSD, LSD-25</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61197-73-7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Лопразолама мезилат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Лопразолама метилсульфонат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Лоразепама ацетат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Лоразепама мезилат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Лоразепама пивалат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848-75-9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Мазиндол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22232-71-9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2898-12-6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Медазепама дибунат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Мезокарб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2934 71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34262-84-5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Меклоквалон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340-57-8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Меклоквалона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Мескалина аурихлорид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832-92-8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Мескалина пикрат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Мескалина платинихлорид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1152-76-7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537-46-2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Метамфетамина рацемат гидрохлорид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гидротартрат (битартрат)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4846-07-5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Метиламинорекс</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Метиламинорекса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 Бета-кето-MDMA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 натрия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4-Метилэткатинон; 4-MEC</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Метиопропамин; MPA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Метиприлон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Меткатинон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Метоксетамин; MXE</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Метоксетамина (MXE)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17243-57-1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59467-70-8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Мидазолама малеат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Ниметазепам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2011-67-8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1088-11-5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604-75-1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Оксазепама ацетат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Оксазепама гемисукцинат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Оксазепама сукцинат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Оксазепама валпроат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24143-17-7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Парагексил</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2152-34-3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 меди</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 железа</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 магния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 никеля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Пентазоцина лактат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17146-95-1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Пентедрон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 кальция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7563-42-0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 натрия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52463-83-9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Пипрадрол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Пипрадрола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3563-49-3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1147-62-2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2955-38-6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 псилотсин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Псилоцина, псилотсина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Ролициклидин (INN) (PHP, PCPY)</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2201-39-0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Секбутабарбитал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Секбутабарбитал-натрий</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 кальция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 натрия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309-43-3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 (INN) (MDA)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51497-09-7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Тенамфетамина (MDA)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Теноциклидин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21500-98-1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Теноциклидина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Тетрагидроканнабинолы, все изомеры</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10379-14-3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28911-01-5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Феназепам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634-03-7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Фендиметразина гидротартрат (битартрат)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Фендиметразина памоат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3736-08-1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1892-80-4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1209-98-9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2240-14-4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Фенметразина гидротартрат (битартрат)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Фенметразина сульфат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Фенметразина теоклат </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13931-75-4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аммония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диэтиламин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диэтиламиноэтанол</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йохимбин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кальция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58766-25-9</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лизидин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магния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натрия магния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натрия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пропилгекседрин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спартеин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тетраметиламмония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Фенобарбитала хинидин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15686-61-0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Фенпропорекса дифенилацетат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18305-29-8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1197-21-3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Фентермина резинат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 (INN) (PCP)</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Фенциклидина гидробромид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3900-31-0</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1622-62-4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17617-23-1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Флуразепама дигидрохлорид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36105-20-1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4-Фторамфетамин; 4-FA</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 кальция</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5897-20-1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438-41-5</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Хлордиазепоксида дибунат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Эстазолам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29975-16-4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457-87-4</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Этиллофлазепат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29177-84-2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Этилон</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Этилфенидат; EPH</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126-52-3</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Этициклидин (PCE)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2201-15-2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Этициклидина (PCE)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Этриптамин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Этриптамина ацетат</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Этриптамина гидрохлорид</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w:t>
            </w:r>
          </w:p>
        </w:tc>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113-18-8</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6"/>
    <w:p>
      <w:pPr>
        <w:spacing w:after="0"/>
        <w:ind w:left="0"/>
        <w:jc w:val="left"/>
      </w:pPr>
      <w:r>
        <w:rPr>
          <w:rFonts w:ascii="Times New Roman"/>
          <w:b/>
          <w:i w:val="false"/>
          <w:color w:val="000000"/>
        </w:rPr>
        <w:t xml:space="preserve"> III. Прекурсоры.</w:t>
      </w:r>
    </w:p>
    <w:bookmarkEnd w:id="36"/>
    <w:tbl>
      <w:tblPr>
        <w:tblW w:w="0" w:type="auto"/>
        <w:tblCellSpacing w:w="0" w:type="auto"/>
        <w:tblBorders>
          <w:top w:val="none"/>
          <w:left w:val="none"/>
          <w:bottom w:val="none"/>
          <w:right w:val="none"/>
          <w:insideH w:val="none"/>
          <w:insideV w:val="none"/>
        </w:tblBorders>
      </w:tblPr>
      <w:tblGrid>
        <w:gridCol w:w="5071"/>
        <w:gridCol w:w="3020"/>
        <w:gridCol w:w="4209"/>
      </w:tblGrid>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 ГС</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N-Ацетилантраниловая кислота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89-52-1</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Альфа-фенилацетоацетонитрил (АФААН)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4468-48-8</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4-Анилин-N-фенетилпиперидин (ANPP)</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Антраниловая кислота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118-92-3</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(этиметилкетон)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хлорид (соляная кислота)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7647-01-0</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простой эфир</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Лизергиновая кислота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82-58-6</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3,4-(Метилендиокси)фенил-2-пропанон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4676-39-5</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14838-15-4</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Норэфедрина гидрохлорид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154-41-6</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7722-64-7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аурихлорид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гидротартрат (битартрат)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6091-46-9</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гидрохлорид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6091-44-7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нитрат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6091-45-8</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пикрат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6091-49-2</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платинихлорид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тиоцианат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22205-64-7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Пипередина фосфат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120-57-0</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90-82-4</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Псевдоэфедрина гидрохлорид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345-78-8</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Псевдоэфедрина сульфат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7460-12-0</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7664-93-9</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N-Фенетил-4-пиперидон (NPP)</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(бензилметилкетон, фенилпропан-2-он)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кислота</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103-82-2</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60-79-7</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Эргометрина гидромалеат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129-51-1</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Эргометрина гидрохлорид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74283-21-9</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Эргометрина оксалат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Эргометрина тартрат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113-15-5</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Эрготамина гидрохлорид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Эрготамина сукцинат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w:t>
            </w:r>
          </w:p>
        </w:tc>
        <w:tc>
          <w:tcPr>
            <w:tcW w:w="4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Эрготамина тартрат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379-79-3</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299-42-3</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Эфедрина гидрохлорид</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50-98-6</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Эфедрина нитрат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81012-98-8</w:t>
            </w:r>
          </w:p>
        </w:tc>
      </w:tr>
      <w:tr>
        <w:trPr>
          <w:trHeight w:val="30" w:hRule="atLeast"/>
        </w:trPr>
        <w:tc>
          <w:tcPr>
            <w:tcW w:w="5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Эфедрина сульфат</w:t>
            </w:r>
          </w:p>
        </w:tc>
        <w:tc>
          <w:tcPr>
            <w:tcW w:w="3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w:t>
            </w:r>
          </w:p>
        </w:tc>
        <w:tc>
          <w:tcPr>
            <w:tcW w:w="4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134-72-5";</w:t>
            </w:r>
          </w:p>
        </w:tc>
      </w:tr>
    </w:tbl>
    <w:bookmarkStart w:name="z44" w:id="37"/>
    <w:p>
      <w:pPr>
        <w:spacing w:after="0"/>
        <w:ind w:left="0"/>
        <w:jc w:val="both"/>
      </w:pPr>
      <w:r>
        <w:rPr>
          <w:rFonts w:ascii="Times New Roman"/>
          <w:b w:val="false"/>
          <w:i w:val="false"/>
          <w:color w:val="000000"/>
          <w:sz w:val="28"/>
        </w:rPr>
        <w:t>
      3) в структурных формулах некоторых химических соединений, описанных в пояснениях к группе 29:</w:t>
      </w:r>
    </w:p>
    <w:bookmarkEnd w:id="37"/>
    <w:bookmarkStart w:name="z45" w:id="38"/>
    <w:p>
      <w:pPr>
        <w:spacing w:after="0"/>
        <w:ind w:left="0"/>
        <w:jc w:val="both"/>
      </w:pPr>
      <w:r>
        <w:rPr>
          <w:rFonts w:ascii="Times New Roman"/>
          <w:b w:val="false"/>
          <w:i w:val="false"/>
          <w:color w:val="000000"/>
          <w:sz w:val="28"/>
        </w:rPr>
        <w:t>
      а) подпункт (а) пункта (1) части (Ж) общих положений изложить в следующей редакции: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
        <w:gridCol w:w="67"/>
        <w:gridCol w:w="67"/>
        <w:gridCol w:w="514"/>
        <w:gridCol w:w="67"/>
        <w:gridCol w:w="11518"/>
      </w:tblGrid>
      <w:tr>
        <w:trPr>
          <w:trHeight w:val="30" w:hRule="atLeast"/>
        </w:trPr>
        <w:tc>
          <w:tcPr>
            <w:tcW w:w="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76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6769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9"/>
    <w:p>
      <w:pPr>
        <w:spacing w:after="0"/>
        <w:ind w:left="0"/>
        <w:jc w:val="both"/>
      </w:pPr>
      <w:r>
        <w:rPr>
          <w:rFonts w:ascii="Times New Roman"/>
          <w:b w:val="false"/>
          <w:i w:val="false"/>
          <w:color w:val="000000"/>
          <w:sz w:val="28"/>
        </w:rPr>
        <w:t>
      б) пункт (Е) товарной позиции 2933 ТН ВЭД ЕАЭС изложить в следующей редакции: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
        <w:gridCol w:w="431"/>
        <w:gridCol w:w="80"/>
        <w:gridCol w:w="80"/>
        <w:gridCol w:w="1445"/>
        <w:gridCol w:w="10184"/>
      </w:tblGrid>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триазиновое кольцо (гидрированное или негидрированное)</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03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037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7" w:id="40"/>
    <w:p>
      <w:pPr>
        <w:spacing w:after="0"/>
        <w:ind w:left="0"/>
        <w:jc w:val="both"/>
      </w:pPr>
      <w:r>
        <w:rPr>
          <w:rFonts w:ascii="Times New Roman"/>
          <w:b w:val="false"/>
          <w:i w:val="false"/>
          <w:color w:val="000000"/>
          <w:sz w:val="28"/>
        </w:rPr>
        <w:t xml:space="preserve">
      в) пункт (1) товарной позиции 2938 ТН ВЭД ЕАЭС изложить в следующей редакции: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
        <w:gridCol w:w="730"/>
        <w:gridCol w:w="92"/>
        <w:gridCol w:w="92"/>
        <w:gridCol w:w="186"/>
        <w:gridCol w:w="11108"/>
      </w:tblGrid>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751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8" w:id="41"/>
    <w:p>
      <w:pPr>
        <w:spacing w:after="0"/>
        <w:ind w:left="0"/>
        <w:jc w:val="both"/>
      </w:pPr>
      <w:r>
        <w:rPr>
          <w:rFonts w:ascii="Times New Roman"/>
          <w:b w:val="false"/>
          <w:i w:val="false"/>
          <w:color w:val="000000"/>
          <w:sz w:val="28"/>
        </w:rPr>
        <w:t>
      4) исключения в пояснениях к товарной позиции 3001 ТН ВЭД ЕАЭС дополнить пунктом (д) следующего содержания:</w:t>
      </w:r>
    </w:p>
    <w:bookmarkEnd w:id="41"/>
    <w:bookmarkStart w:name="z49" w:id="42"/>
    <w:p>
      <w:pPr>
        <w:spacing w:after="0"/>
        <w:ind w:left="0"/>
        <w:jc w:val="both"/>
      </w:pPr>
      <w:r>
        <w:rPr>
          <w:rFonts w:ascii="Times New Roman"/>
          <w:b w:val="false"/>
          <w:i w:val="false"/>
          <w:color w:val="000000"/>
          <w:sz w:val="28"/>
        </w:rPr>
        <w:t>
      "(д) клеточные культуры (товарная позиция 3002);".</w:t>
      </w:r>
    </w:p>
    <w:bookmarkEnd w:id="42"/>
    <w:bookmarkStart w:name="z50" w:id="43"/>
    <w:p>
      <w:pPr>
        <w:spacing w:after="0"/>
        <w:ind w:left="0"/>
        <w:jc w:val="both"/>
      </w:pPr>
      <w:r>
        <w:rPr>
          <w:rFonts w:ascii="Times New Roman"/>
          <w:b w:val="false"/>
          <w:i w:val="false"/>
          <w:color w:val="000000"/>
          <w:sz w:val="28"/>
        </w:rPr>
        <w:t>
      Исключения в пояснениях к товарной позиции 3001 ТН ВЭД ЕАЭС (д), (е) и (ж) считать исключениями (е), (ж) и (з) соответственно;</w:t>
      </w:r>
    </w:p>
    <w:bookmarkEnd w:id="43"/>
    <w:bookmarkStart w:name="z51" w:id="44"/>
    <w:p>
      <w:pPr>
        <w:spacing w:after="0"/>
        <w:ind w:left="0"/>
        <w:jc w:val="both"/>
      </w:pPr>
      <w:r>
        <w:rPr>
          <w:rFonts w:ascii="Times New Roman"/>
          <w:b w:val="false"/>
          <w:i w:val="false"/>
          <w:color w:val="000000"/>
          <w:sz w:val="28"/>
        </w:rPr>
        <w:t>
      5) подпункт (2) пункта (Г) пояснений к товарной позиции 3002 ТН ВЭД ЕАЭС дополнить предложениями следующего содержания:</w:t>
      </w:r>
    </w:p>
    <w:bookmarkEnd w:id="44"/>
    <w:bookmarkStart w:name="z52" w:id="45"/>
    <w:p>
      <w:pPr>
        <w:spacing w:after="0"/>
        <w:ind w:left="0"/>
        <w:jc w:val="both"/>
      </w:pPr>
      <w:r>
        <w:rPr>
          <w:rFonts w:ascii="Times New Roman"/>
          <w:b w:val="false"/>
          <w:i w:val="false"/>
          <w:color w:val="000000"/>
          <w:sz w:val="28"/>
        </w:rPr>
        <w:t>
      "Токсины данной товарной позиции являются пептидами или протеинами. Данные токсины не включают алкалоиды (товарная позиция 2939).";</w:t>
      </w:r>
    </w:p>
    <w:bookmarkEnd w:id="45"/>
    <w:bookmarkStart w:name="z53" w:id="46"/>
    <w:p>
      <w:pPr>
        <w:spacing w:after="0"/>
        <w:ind w:left="0"/>
        <w:jc w:val="both"/>
      </w:pPr>
      <w:r>
        <w:rPr>
          <w:rFonts w:ascii="Times New Roman"/>
          <w:b w:val="false"/>
          <w:i w:val="false"/>
          <w:color w:val="000000"/>
          <w:sz w:val="28"/>
        </w:rPr>
        <w:t>
      6) абзац первый общих положений пояснений к группе 37 ТН ВЭД ЕАЭС изложить в следующей редакции:</w:t>
      </w:r>
    </w:p>
    <w:bookmarkEnd w:id="46"/>
    <w:bookmarkStart w:name="z54" w:id="47"/>
    <w:p>
      <w:pPr>
        <w:spacing w:after="0"/>
        <w:ind w:left="0"/>
        <w:jc w:val="both"/>
      </w:pPr>
      <w:r>
        <w:rPr>
          <w:rFonts w:ascii="Times New Roman"/>
          <w:b w:val="false"/>
          <w:i w:val="false"/>
          <w:color w:val="000000"/>
          <w:sz w:val="28"/>
        </w:rPr>
        <w:t>
      "Фотографические пластинки, пленки, бумага, картон и текстильные материалы группы 37 представляют собой перечисленные изделия с одним или более слоями любой эмульсии, чувствительной к свету или другим излучениям с энергией, достаточной для инициирования реакции в фотон- или фоточувствительных материалах, то есть излучениям с длиной волны не более 1300 нм электромагнитного спектра (включая гамма-излучение, рентгеновское, ультрафиолетовое и излучение в ближней инфракрасной области), а также к корпускулярному (или ядерному) излучению независимо от того, предназначены ли они для монохромного или цветного воспроизведения. Некоторые пластинки, однако, не покрыты эмульсией, но целиком или в большей степени состоят из фоточувствительных пластмасс, которые могут быть зафиксированы на подложке. Инфракрасные пластинки, чувствительные к лазерному излучению, часто называют термочувствительными/термопластинками или теплочувствительными пластинками.";</w:t>
      </w:r>
    </w:p>
    <w:bookmarkEnd w:id="47"/>
    <w:bookmarkStart w:name="z55" w:id="48"/>
    <w:p>
      <w:pPr>
        <w:spacing w:after="0"/>
        <w:ind w:left="0"/>
        <w:jc w:val="both"/>
      </w:pPr>
      <w:r>
        <w:rPr>
          <w:rFonts w:ascii="Times New Roman"/>
          <w:b w:val="false"/>
          <w:i w:val="false"/>
          <w:color w:val="000000"/>
          <w:sz w:val="28"/>
        </w:rPr>
        <w:t>
      7) абзац первый пункта (А) пояснений к товарной позиции 3701 ТН ВЭД ЕАЭС изложить в следующей редакции:</w:t>
      </w:r>
    </w:p>
    <w:bookmarkEnd w:id="48"/>
    <w:bookmarkStart w:name="z56" w:id="49"/>
    <w:p>
      <w:pPr>
        <w:spacing w:after="0"/>
        <w:ind w:left="0"/>
        <w:jc w:val="both"/>
      </w:pPr>
      <w:r>
        <w:rPr>
          <w:rFonts w:ascii="Times New Roman"/>
          <w:b w:val="false"/>
          <w:i w:val="false"/>
          <w:color w:val="000000"/>
          <w:sz w:val="28"/>
        </w:rPr>
        <w:t>
      "Такие пластинки и пленки плоские (то есть не в рулонах), включая пленки в форме дисков, представляют собой неэкспонированные материалы и обычно покрыты сенсибилизированной фотографической эмульсией. Они могут быть изготовлены из любых материалов, кроме бумаги (например, бумажные "пластинки", используемые для получения негативов), картона или текстильных материалов (товарная позиция 3703). Наиболее часто используемыми материалами являются стекло и ацетат целлюлозы, полиэтилентерефталат или другие пластмассы (для пакетной пленки или форматной фотопленки), а также металл или камень (для фотомеханических процессов). Некоторые пластинки, которые после экспонирования и обработки будут использованы для печати, не покрываются эмульсией, но целиком или в большей степени состоят из фоточувствительных пластмасс. Они могут быть закреплены на подложке из металла или другого материала. Некоторые из этих пластинок должны обладать собственной степенью чувствительности, повышаемой до экспонирования, а другие пластинки должны обладать степенью отверждения облученных секций, (термически) повышаемой после облучения.";</w:t>
      </w:r>
    </w:p>
    <w:bookmarkEnd w:id="49"/>
    <w:bookmarkStart w:name="z57" w:id="50"/>
    <w:p>
      <w:pPr>
        <w:spacing w:after="0"/>
        <w:ind w:left="0"/>
        <w:jc w:val="both"/>
      </w:pPr>
      <w:r>
        <w:rPr>
          <w:rFonts w:ascii="Times New Roman"/>
          <w:b w:val="false"/>
          <w:i w:val="false"/>
          <w:color w:val="000000"/>
          <w:sz w:val="28"/>
        </w:rPr>
        <w:t>
      8) в пояснениях к товарной позиции 3824 ТН ВЭД ЕАЭС:</w:t>
      </w:r>
    </w:p>
    <w:bookmarkEnd w:id="50"/>
    <w:bookmarkStart w:name="z58" w:id="51"/>
    <w:p>
      <w:pPr>
        <w:spacing w:after="0"/>
        <w:ind w:left="0"/>
        <w:jc w:val="both"/>
      </w:pPr>
      <w:r>
        <w:rPr>
          <w:rFonts w:ascii="Times New Roman"/>
          <w:b w:val="false"/>
          <w:i w:val="false"/>
          <w:color w:val="000000"/>
          <w:sz w:val="28"/>
        </w:rPr>
        <w:t>
      а) пункт (25) части (Б) изложить в следующей редакции:</w:t>
      </w:r>
    </w:p>
    <w:bookmarkEnd w:id="51"/>
    <w:bookmarkStart w:name="z59" w:id="52"/>
    <w:p>
      <w:pPr>
        <w:spacing w:after="0"/>
        <w:ind w:left="0"/>
        <w:jc w:val="both"/>
      </w:pPr>
      <w:r>
        <w:rPr>
          <w:rFonts w:ascii="Times New Roman"/>
          <w:b w:val="false"/>
          <w:i w:val="false"/>
          <w:color w:val="000000"/>
          <w:sz w:val="28"/>
        </w:rPr>
        <w:t>
      "(25) Препараты для производства некоторых керамических изделий (искусственных зубов и т.д.), например, смеси на основе каолина, кварца и полевого шпата.</w:t>
      </w:r>
    </w:p>
    <w:bookmarkEnd w:id="52"/>
    <w:bookmarkStart w:name="z60" w:id="53"/>
    <w:p>
      <w:pPr>
        <w:spacing w:after="0"/>
        <w:ind w:left="0"/>
        <w:jc w:val="both"/>
      </w:pPr>
      <w:r>
        <w:rPr>
          <w:rFonts w:ascii="Times New Roman"/>
          <w:b w:val="false"/>
          <w:i w:val="false"/>
          <w:color w:val="000000"/>
          <w:sz w:val="28"/>
        </w:rPr>
        <w:t>
      Данная категория также включает в себя стоматологические материалы из циркония на основе диоксида циркония (ZrO</w:t>
      </w:r>
      <w:r>
        <w:rPr>
          <w:rFonts w:ascii="Times New Roman"/>
          <w:b w:val="false"/>
          <w:i w:val="false"/>
          <w:color w:val="000000"/>
          <w:vertAlign w:val="subscript"/>
        </w:rPr>
        <w:t>2</w:t>
      </w:r>
      <w:r>
        <w:rPr>
          <w:rFonts w:ascii="Times New Roman"/>
          <w:b w:val="false"/>
          <w:i w:val="false"/>
          <w:color w:val="000000"/>
          <w:sz w:val="28"/>
        </w:rPr>
        <w:t>) и других оксидов металлов. Они не могут применяться в стоматологии, пока не подвергнутся определенным процедурам, таким как помол, спекание и глазуровка для придания им окончательной формы искусственных зубов или зубных пломбировочных материалов.";</w:t>
      </w:r>
    </w:p>
    <w:bookmarkEnd w:id="53"/>
    <w:bookmarkStart w:name="z61" w:id="54"/>
    <w:p>
      <w:pPr>
        <w:spacing w:after="0"/>
        <w:ind w:left="0"/>
        <w:jc w:val="both"/>
      </w:pPr>
      <w:r>
        <w:rPr>
          <w:rFonts w:ascii="Times New Roman"/>
          <w:b w:val="false"/>
          <w:i w:val="false"/>
          <w:color w:val="000000"/>
          <w:sz w:val="28"/>
        </w:rPr>
        <w:t>
      б) исключения дополнить пунктом (а) следующего содержания:</w:t>
      </w:r>
    </w:p>
    <w:bookmarkEnd w:id="54"/>
    <w:bookmarkStart w:name="z62" w:id="55"/>
    <w:p>
      <w:pPr>
        <w:spacing w:after="0"/>
        <w:ind w:left="0"/>
        <w:jc w:val="both"/>
      </w:pPr>
      <w:r>
        <w:rPr>
          <w:rFonts w:ascii="Times New Roman"/>
          <w:b w:val="false"/>
          <w:i w:val="false"/>
          <w:color w:val="000000"/>
          <w:sz w:val="28"/>
        </w:rPr>
        <w:t>
      "(а) микрокремнезем определенного химического состава, получаемый в качестве побочного продукта при производстве кремния, ферросилиция и циркония, используемый главным образом в качестве пуццолановой добавки в бетоне, фиброцементе или огнеупорных бетонах, а также в качестве добавки в полимерах (товарная позиция 2811).".</w:t>
      </w:r>
    </w:p>
    <w:bookmarkEnd w:id="55"/>
    <w:bookmarkStart w:name="z63" w:id="56"/>
    <w:p>
      <w:pPr>
        <w:spacing w:after="0"/>
        <w:ind w:left="0"/>
        <w:jc w:val="both"/>
      </w:pPr>
      <w:r>
        <w:rPr>
          <w:rFonts w:ascii="Times New Roman"/>
          <w:b w:val="false"/>
          <w:i w:val="false"/>
          <w:color w:val="000000"/>
          <w:sz w:val="28"/>
        </w:rPr>
        <w:t>
      Исключения в пояснениях к товарной позиции 3824 ТН ВЭД ЕАЭС (а) и (б) считать исключениями (б) и (в) соответственно.</w:t>
      </w:r>
    </w:p>
    <w:bookmarkEnd w:id="56"/>
    <w:bookmarkStart w:name="z64" w:id="57"/>
    <w:p>
      <w:pPr>
        <w:spacing w:after="0"/>
        <w:ind w:left="0"/>
        <w:jc w:val="both"/>
      </w:pPr>
      <w:r>
        <w:rPr>
          <w:rFonts w:ascii="Times New Roman"/>
          <w:b w:val="false"/>
          <w:i w:val="false"/>
          <w:color w:val="000000"/>
          <w:sz w:val="28"/>
        </w:rPr>
        <w:t>
      3. В томе V пункт (Л) части I пояснений к товарной позиции 9018 ТН ВЭД ЕАЭС изложить в следующей редакции:</w:t>
      </w:r>
    </w:p>
    <w:bookmarkEnd w:id="57"/>
    <w:bookmarkStart w:name="z65" w:id="58"/>
    <w:p>
      <w:pPr>
        <w:spacing w:after="0"/>
        <w:ind w:left="0"/>
        <w:jc w:val="both"/>
      </w:pPr>
      <w:r>
        <w:rPr>
          <w:rFonts w:ascii="Times New Roman"/>
          <w:b w:val="false"/>
          <w:i w:val="false"/>
          <w:color w:val="000000"/>
          <w:sz w:val="28"/>
        </w:rPr>
        <w:t>
      "(Л) Портативные пневмотораксные аппараты, аппараты для переливания цельной крови, компонентов крови и производных крови, искусственные пиявки.".</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