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baa0" w14:textId="505b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стальных кованых валков для металлопрокатных станов,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января 2020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904 (с учетом продления действия указанной меры на основании Решения Коллегии Евразийской экономической комиссии от 20 января 2015 г. № 3),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28 февраля 2022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904 (с учетом продления действия указанной меры на основании Решения Коллегии Евразийской экономической комиссии от 20 января 2015 г. № 3), в отношении ввозимых на таможенную территорию Евразийского экономического союза стальных кованых валков для металлопрокатных станов, происходящих из Украины.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Департаменту антимонопольного регулирования Евразийской экономической комиссии осуществлять мониторинг цен на товар,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 9 декабря 2011 г. № 904, на рынке Евразийского экономического союза в целях недопущения необоснованного повышения цен производителями государств – членов Евразийского экономического союза в условиях применения антидемпинговой меры, продленной настоящим Решением.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антидемпинговой пошлины в размере,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904;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мая 2019 г. № 82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