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222a" w14:textId="90c2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комплектующих для производства ручных электроинструментов, а также в Решение Коллегии Евразийской экономической комиссии от 19 апреля 2016 г.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7 апреля 2020 года № 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2.4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1.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товаров, в отношении которых применяются ставки ввозных таможенных пошлин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года, и размеров таких ставок, утвержденном Решением Коллегии Евразийской экономической комиссии от 19 апреля 2016 г. № 36:  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позицию с кодом 8536 50 800 0 ТН ВЭД ЕАЭС заменить позициями следующего содержания: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"8536 50 800 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 выключатели для производства ручных электроинстру-ментов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8536 50 800 9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 прочие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0";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8545 20 000 0 ТН ВЭД ЕАЭС заменить позициями следующего содержания: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"8545 20 000 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 для производства ручных электроинструмен-тов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8545 20 000 9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 прочие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0".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 календарных дней с даты его официального опубликования, но не ранее даты вступления в силу решения Совета Евразийской экономической комиссии о внесении изменений в некоторые решения Совета Евразийской экономической комиссии в отношении отдельных видов комплектующих для производства ручных электроинструментов.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апреля 2020 г. № 44 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апреля 2020 г. № 44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апреля 2020 г. № 44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