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4dca5" w14:textId="2a4d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товаров и ставок, в отношении которых в течение переходного периода Кыргызская Республика применяет ставки ввозных таможенных пошлин, отличные от ставок пошлин, установленных Единым таможенным тарифом Евразийского экономического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28 апреля 2020 года № 61.</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29.06.2021 </w:t>
      </w:r>
      <w:r>
        <w:rPr>
          <w:rFonts w:ascii="Times New Roman"/>
          <w:b w:val="false"/>
          <w:i w:val="false"/>
          <w:color w:val="ff0000"/>
          <w:sz w:val="28"/>
        </w:rPr>
        <w:t>№ 70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Договора о Евразийском экономическом союзе от 29 мая 2014 года, пунктом 43 приложения № 1 к Протоколу от 8 мая 2015 года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и на основании Протокола о внесении изменений в Протокол от 8 мая 2015 года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подписанного 14 апреля 2020 года (далее – Протокол о внесении изменений),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перечень товаров</w:t>
      </w:r>
      <w:r>
        <w:rPr>
          <w:rFonts w:ascii="Times New Roman"/>
          <w:b w:val="false"/>
          <w:i w:val="false"/>
          <w:color w:val="000000"/>
          <w:sz w:val="28"/>
        </w:rPr>
        <w:t xml:space="preserve"> и ставок, в отношении которых в течение переходного периода Кыргызская Республика применяет ставки ввозных таможенных пошлин, отличные от ставок пошлин, установленных Единым таможенным тарифом Евразийского экономического союза, утвержденный Решением Коллегии Евразийской экономической комиссии от 30 июня 2015 г. № 68, изменения согласно приложению.</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 и распространяется на правоотношения, возникшие с 1 января 2020 г.</w:t>
      </w:r>
    </w:p>
    <w:bookmarkEnd w:id="2"/>
    <w:bookmarkStart w:name="z7" w:id="3"/>
    <w:p>
      <w:pPr>
        <w:spacing w:after="0"/>
        <w:ind w:left="0"/>
        <w:jc w:val="both"/>
      </w:pPr>
      <w:r>
        <w:rPr>
          <w:rFonts w:ascii="Times New Roman"/>
          <w:b w:val="false"/>
          <w:i w:val="false"/>
          <w:color w:val="000000"/>
          <w:sz w:val="28"/>
        </w:rPr>
        <w:t>
      Применение настоящего Решения государствами – членами Евразийского экономического союза осуществляется в соответствии со статьей 2 Протокола о внесении изменений.</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28 апреля 2020 г. № 61   </w:t>
            </w:r>
          </w:p>
        </w:tc>
      </w:tr>
    </w:tbl>
    <w:p>
      <w:pPr>
        <w:spacing w:after="0"/>
        <w:ind w:left="0"/>
        <w:jc w:val="left"/>
      </w:pP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перечень товаров и ставок, в отношении которых в течение переходного периода Кыргызская Республика применяет ставки ввозных таможенных пошлин, отличные от ставок пошлин, установленных Единым таможенным тарифом Евразийского экономического союза </w:t>
      </w:r>
    </w:p>
    <w:bookmarkEnd w:id="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30 июня 2015 г. № 68 </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28 апреля 2020 г. № 61) </w:t>
            </w:r>
          </w:p>
        </w:tc>
      </w:tr>
    </w:tbl>
    <w:bookmarkStart w:name="z13" w:id="5"/>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товаров и ставок, в отношении которых в течение переходного периода Кыргызская Республика применяет ставки ввозных таможенных пошлин, отличные от ставок пошлин, установленных Единым таможенным тарифом Евразийского экономического союза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ввозной таможенной пошлины </w:t>
            </w:r>
          </w:p>
          <w:p>
            <w:pPr>
              <w:spacing w:after="20"/>
              <w:ind w:left="20"/>
              <w:jc w:val="both"/>
            </w:pPr>
            <w:r>
              <w:rPr>
                <w:rFonts w:ascii="Times New Roman"/>
                <w:b w:val="false"/>
                <w:i w:val="false"/>
                <w:color w:val="000000"/>
                <w:sz w:val="20"/>
              </w:rPr>
              <w:t>(в процентах от таможенной стоимости либо в евро, либо в долларах США)</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на</w:t>
            </w:r>
          </w:p>
          <w:bookmarkEnd w:id="6"/>
          <w:p>
            <w:pPr>
              <w:spacing w:after="20"/>
              <w:ind w:left="20"/>
              <w:jc w:val="both"/>
            </w:pPr>
            <w:r>
              <w:rPr>
                <w:rFonts w:ascii="Times New Roman"/>
                <w:b w:val="false"/>
                <w:i w:val="false"/>
                <w:color w:val="000000"/>
                <w:sz w:val="20"/>
              </w:rPr>
              <w:t>
2015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на</w:t>
            </w:r>
          </w:p>
          <w:bookmarkEnd w:id="7"/>
          <w:p>
            <w:pPr>
              <w:spacing w:after="20"/>
              <w:ind w:left="20"/>
              <w:jc w:val="both"/>
            </w:pPr>
            <w:r>
              <w:rPr>
                <w:rFonts w:ascii="Times New Roman"/>
                <w:b w:val="false"/>
                <w:i w:val="false"/>
                <w:color w:val="000000"/>
                <w:sz w:val="20"/>
              </w:rPr>
              <w:t>
2016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на</w:t>
            </w:r>
          </w:p>
          <w:bookmarkEnd w:id="8"/>
          <w:p>
            <w:pPr>
              <w:spacing w:after="20"/>
              <w:ind w:left="20"/>
              <w:jc w:val="both"/>
            </w:pPr>
            <w:r>
              <w:rPr>
                <w:rFonts w:ascii="Times New Roman"/>
                <w:b w:val="false"/>
                <w:i w:val="false"/>
                <w:color w:val="000000"/>
                <w:sz w:val="20"/>
              </w:rPr>
              <w:t>
2017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на</w:t>
            </w:r>
          </w:p>
          <w:bookmarkEnd w:id="9"/>
          <w:p>
            <w:pPr>
              <w:spacing w:after="20"/>
              <w:ind w:left="20"/>
              <w:jc w:val="both"/>
            </w:pPr>
            <w:r>
              <w:rPr>
                <w:rFonts w:ascii="Times New Roman"/>
                <w:b w:val="false"/>
                <w:i w:val="false"/>
                <w:color w:val="000000"/>
                <w:sz w:val="20"/>
              </w:rPr>
              <w:t>
2018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на</w:t>
            </w:r>
          </w:p>
          <w:bookmarkEnd w:id="10"/>
          <w:p>
            <w:pPr>
              <w:spacing w:after="20"/>
              <w:ind w:left="20"/>
              <w:jc w:val="both"/>
            </w:pPr>
            <w:r>
              <w:rPr>
                <w:rFonts w:ascii="Times New Roman"/>
                <w:b w:val="false"/>
                <w:i w:val="false"/>
                <w:color w:val="000000"/>
                <w:sz w:val="20"/>
              </w:rPr>
              <w:t>
2019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2020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2021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сперма бычья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черенки укорененные и молодые растения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семенной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простые гибриды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1005 10 180 1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двойные гибриды и топкроссные гибриды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растворимые рыбные продукты или продукты из морских млекопитающих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2309 90 960 9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и его сложные эфиры; соли этих соединений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наборы для диагностики малярии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глобулины крови и сывороточные глобулины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факторы свертываемости крови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несмешанные, не расфасованные в виде дозированных лекарственных форм или в формы или упаковки для розничной продажи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смешанные, не расфасованные в виде дозированных лекарственных форм или в формы или упаковки для розничной продажи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расфасованные в виде дозированных лекарственных форм или в формы или упаковки для розничной продажи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3002 19 000 0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гепатита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культуры микроорганизмов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расфасованные в формы или упаковки для розничной продажи и содержащие </w:t>
            </w:r>
          </w:p>
          <w:p>
            <w:pPr>
              <w:spacing w:after="20"/>
              <w:ind w:left="20"/>
              <w:jc w:val="both"/>
            </w:pPr>
            <w:r>
              <w:rPr>
                <w:rFonts w:ascii="Times New Roman"/>
                <w:b w:val="false"/>
                <w:i w:val="false"/>
                <w:color w:val="000000"/>
                <w:sz w:val="20"/>
              </w:rPr>
              <w:t>в качестве основного действующего вещества только флуоцинолон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действующего вещества только: кислоту аскорбиновую </w:t>
            </w:r>
          </w:p>
          <w:p>
            <w:pPr>
              <w:spacing w:after="20"/>
              <w:ind w:left="20"/>
              <w:jc w:val="both"/>
            </w:pPr>
            <w:r>
              <w:rPr>
                <w:rFonts w:ascii="Times New Roman"/>
                <w:b w:val="false"/>
                <w:i w:val="false"/>
                <w:color w:val="000000"/>
                <w:sz w:val="20"/>
              </w:rPr>
              <w:t>(витамин С) или кислоту никотиновую, или кокарбоксилазу, или никотинамид, или пиридоксин, или тиамин и его соли (витамин В</w:t>
            </w:r>
            <w:r>
              <w:rPr>
                <w:rFonts w:ascii="Times New Roman"/>
                <w:b w:val="false"/>
                <w:i w:val="false"/>
                <w:color w:val="000000"/>
                <w:vertAlign w:val="subscript"/>
              </w:rPr>
              <w:t>1</w:t>
            </w:r>
            <w:r>
              <w:rPr>
                <w:rFonts w:ascii="Times New Roman"/>
                <w:b w:val="false"/>
                <w:i w:val="false"/>
                <w:color w:val="000000"/>
                <w:sz w:val="20"/>
              </w:rPr>
              <w:t>), или цианокобаламин (витамин В</w:t>
            </w:r>
            <w:r>
              <w:rPr>
                <w:rFonts w:ascii="Times New Roman"/>
                <w:b w:val="false"/>
                <w:i w:val="false"/>
                <w:color w:val="000000"/>
                <w:vertAlign w:val="subscript"/>
              </w:rPr>
              <w:t>12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действующего вещества только: кокарбоксилазу или кислоту аскорбиновую </w:t>
            </w:r>
          </w:p>
          <w:p>
            <w:pPr>
              <w:spacing w:after="20"/>
              <w:ind w:left="20"/>
              <w:jc w:val="both"/>
            </w:pPr>
            <w:r>
              <w:rPr>
                <w:rFonts w:ascii="Times New Roman"/>
                <w:b w:val="false"/>
                <w:i w:val="false"/>
                <w:color w:val="000000"/>
                <w:sz w:val="20"/>
              </w:rPr>
              <w:t xml:space="preserve">(витамин С), или цианокобаламин </w:t>
            </w:r>
          </w:p>
          <w:p>
            <w:pPr>
              <w:spacing w:after="20"/>
              <w:ind w:left="20"/>
              <w:jc w:val="both"/>
            </w:pPr>
            <w:r>
              <w:rPr>
                <w:rFonts w:ascii="Times New Roman"/>
                <w:b w:val="false"/>
                <w:i w:val="false"/>
                <w:color w:val="000000"/>
                <w:sz w:val="20"/>
              </w:rPr>
              <w:t>(витамин В</w:t>
            </w:r>
            <w:r>
              <w:rPr>
                <w:rFonts w:ascii="Times New Roman"/>
                <w:b w:val="false"/>
                <w:i w:val="false"/>
                <w:color w:val="000000"/>
                <w:vertAlign w:val="subscript"/>
              </w:rPr>
              <w:t>12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 перевязочный адгезивный и прочие изделия, имеющие липкий слой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реагенты для определения группы крови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рентгеногpафических обследований; реагенты диагностические, предназначенные для введения больным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спермицидов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3204 19 000 0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 двух или более красящих веществ субпозиций 3204 11 – 3204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3603 00 100 2</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шнуры огнепроводные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3603 00 100 8</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3603 00 900 3</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неэлектрические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ЕТТ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гербициды, содержащие алахлор (ISO) или алдикарб (ISO), или азинфос метил (ISO), или эндосульфан (ISO), или простые эфиры пента- и октабромдифенила, или пентафтороктансуль-</w:t>
            </w:r>
          </w:p>
          <w:p>
            <w:pPr>
              <w:spacing w:after="20"/>
              <w:ind w:left="20"/>
              <w:jc w:val="both"/>
            </w:pPr>
            <w:r>
              <w:rPr>
                <w:rFonts w:ascii="Times New Roman"/>
                <w:b w:val="false"/>
                <w:i w:val="false"/>
                <w:color w:val="000000"/>
                <w:sz w:val="20"/>
              </w:rPr>
              <w:t>фоновую кислоту и ее соли, или перфтороктансуль-</w:t>
            </w:r>
          </w:p>
          <w:p>
            <w:pPr>
              <w:spacing w:after="20"/>
              <w:ind w:left="20"/>
              <w:jc w:val="both"/>
            </w:pPr>
            <w:r>
              <w:rPr>
                <w:rFonts w:ascii="Times New Roman"/>
                <w:b w:val="false"/>
                <w:i w:val="false"/>
                <w:color w:val="000000"/>
                <w:sz w:val="20"/>
              </w:rPr>
              <w:t>фонамиды, или перфтороктансульфо-нилфторид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триазинов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амидов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карбаматов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динитроанилина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карбамида, урацила или сульфонилкарбамида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3810 90 900 0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3002 или 3006; сертифицированные эталонные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альдрин (ISO), камфехлор (ISO) (токсафен), хлордан (ISO), хлордекон (ISO), ДДТ (ISO) (клофенотан (INN), 1,1,1-трихлор-2,2-бис(n-хлорфенил)этан), диэлдрин (ISO, INN), эндосульфан (ISO), эндрин (ISO), гептахлор (ISO) или мирекс (ISO)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1,2,3,4,5,6-гексахлорциклогексан (ГХГ (ISO)), включая линдан (ISO, INN)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3824 86 000 0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пентахлорбензол (ISO) или гексахлорбензол (ISO)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3824 87 000 0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перфтороктансульфоновую кислоту, ее соли, перфтороктансульфонамиды или перфтороктансульфо-нилфторид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3824 88 000 0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тетра-, пента-, гекса-, гепта- или октабромдифениловые простые эфиры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3824 99 920 3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пропитывающая жидкость для производства силовых конденсаторов</w:t>
            </w:r>
            <w:r>
              <w:rPr>
                <w:rFonts w:ascii="Times New Roman"/>
                <w:b w:val="false"/>
                <w:i w:val="false"/>
                <w:color w:val="000000"/>
                <w:vertAlign w:val="superscript"/>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ЕТТ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3824 99 920 9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3824 99 930 2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манкоцеб для производства химических средств защиты растений</w:t>
            </w:r>
            <w:r>
              <w:rPr>
                <w:rFonts w:ascii="Times New Roman"/>
                <w:b w:val="false"/>
                <w:i w:val="false"/>
                <w:color w:val="000000"/>
                <w:vertAlign w:val="superscript"/>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3824 99 930 8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3824 99 960 9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хирургические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выточенные из прутков, профилей или проволоки сплошного поперечного сечения, с диаметром отверстия не более 6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размером поперечного сечения не более 0,5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цинка (латуни)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полосы для жалюзи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не менее 0,021 мм, но не более 0,2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наименьшим горизонтальным размером не более 100 см, вертикальным размером не более 130 см, номинальным напряжением не более 250 В, производительностью не более 1500 м</w:t>
            </w:r>
            <w:r>
              <w:rPr>
                <w:rFonts w:ascii="Times New Roman"/>
                <w:b w:val="false"/>
                <w:i w:val="false"/>
                <w:color w:val="000000"/>
                <w:vertAlign w:val="superscript"/>
              </w:rPr>
              <w:t>3</w:t>
            </w:r>
            <w:r>
              <w:rPr>
                <w:rFonts w:ascii="Times New Roman"/>
                <w:b w:val="false"/>
                <w:i w:val="false"/>
                <w:color w:val="000000"/>
                <w:sz w:val="20"/>
              </w:rPr>
              <w:t>/ч, с жироулавливающим элементом или местом для его установки, с посадочным местом для подсоединения воздуховода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установки на тракторах или для буксирования тракторами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распределители порошков, предназначенные для установки на тракторах или для буксирования тракторами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бороны дисковые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8433 40 000 1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пресс-подборщики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момента выпуска которых прошло более 3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свекловичные ботворезные и машины свеклоуборочные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механизмы для приготовления кормов для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очистки, сортировки или калибровки семян, зерна или сухих бобовых овощей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однопозиционные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ковочно-штамповочные гидравлические прессы с усилием прессования 200 МН, с возможностью одновременного размещения на рабочем столе трех штампов, оснащенные системой газового нагрева штампов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пилы цепные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пилы дисковые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экологического класса 4 или выше</w:t>
            </w:r>
            <w:r>
              <w:rPr>
                <w:rFonts w:ascii="Times New Roman"/>
                <w:b w:val="false"/>
                <w:i w:val="false"/>
                <w:color w:val="000000"/>
                <w:vertAlign w:val="superscript"/>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8702 90 809 0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рабочим объемом цилиндров двигателя более 1500 см³, но не более 1800 см³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рабочим объемом цилиндров двигателя более 1800 см³, но не более 2300 см³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рабочим объемом цилиндров двигателя более 2300 см³, но не более 2800 см³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автомобили повышенной проходимости, поименованные в дополнительном примечании Евразийского экономического союза 6 к данной группе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повышенной проходимости с рабочим объемом цилиндров двигателя более 3000 см³, но менее 3500 см³, поименованные в дополнительном примечании Евразийского экономического союза 6 к данной группе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не более 5 т, приводимые в движение только электрическим двигателем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8708 21 900 9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8708 40 500 9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самозагружающиеся или саморазгружающиеся для сельского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прицепы-цистерны и полуприцепы-цистерны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автомобильные, с полной массой более 15 т и габаритной длиной не менее 13,6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автомобильные рефрижераторные, с внутренним объемом кузова не менее 76 м³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инсулина объемом не более 2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иглы трубчатые металлические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системы для взятия и переливания крови, кровезаменителей и инфузионных растворов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теплицы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bl>
    <w:p>
      <w:pPr>
        <w:spacing w:after="0"/>
        <w:ind w:left="0"/>
        <w:jc w:val="both"/>
      </w:pPr>
      <w:bookmarkStart w:name="z19" w:id="11"/>
      <w:r>
        <w:rPr>
          <w:rFonts w:ascii="Times New Roman"/>
          <w:b w:val="false"/>
          <w:i w:val="false"/>
          <w:color w:val="000000"/>
          <w:sz w:val="28"/>
        </w:rPr>
        <w:t>
      ___________________</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Ставки ввозных таможенных пошлин применяются с 1 января указанного календарного года, в 2015 году – с даты принятия Высшим Евразийским экономическим советом решения об отмене таможенного контроля товаров и транспортных средств, перемещаемых через кыргызско-казахстанский участок государственной границы.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Ставка ввозной таможенной пошлины применяется при условии, что лицо, являющееся декларантом указанных товаров, включено в соответствующий перечень организаций и лиц, ежегодно представляемый в Евразийскую экономическую комиссию Кыргызской Республикой, а также при условии представления в таможенный орган государства – члена Евразийского экономического союза подтверждения уполномоченного органа исполнительной власти Кыргызской Республики целевого назначения ввозимого товара.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 период с 1 января 2020 г. до даты вступления в силу </w:t>
      </w:r>
      <w:r>
        <w:rPr>
          <w:rFonts w:ascii="Times New Roman"/>
          <w:b w:val="false"/>
          <w:i w:val="false"/>
          <w:color w:val="000000"/>
          <w:sz w:val="28"/>
        </w:rPr>
        <w:t>Решения</w:t>
      </w:r>
      <w:r>
        <w:rPr>
          <w:rFonts w:ascii="Times New Roman"/>
          <w:b w:val="false"/>
          <w:i w:val="false"/>
          <w:color w:val="000000"/>
          <w:sz w:val="28"/>
        </w:rPr>
        <w:t xml:space="preserve"> Коллегии Евразийской экономической комиссии от 26 февраля 2020 г. № 28 ставка ввозной таможенной пошлины в размере 0 % от таможенной стоимости применялась в отношении товаров, классифицируемых кодами 3603 00 100 9 и 3603 00 900 1 ТН ВЭД ЕАЭС.".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