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7d2f" w14:textId="54a7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документов об оценке соответствия продукции отдельным требованиям технического регламента Таможенного союза "О безопасности мяса и мясной продукции" (ТР ТС 034/2013)</w:t>
      </w:r>
    </w:p>
    <w:p>
      <w:pPr>
        <w:spacing w:after="0"/>
        <w:ind w:left="0"/>
        <w:jc w:val="both"/>
      </w:pPr>
      <w:r>
        <w:rPr>
          <w:rFonts w:ascii="Times New Roman"/>
          <w:b w:val="false"/>
          <w:i w:val="false"/>
          <w:color w:val="000000"/>
          <w:sz w:val="28"/>
        </w:rPr>
        <w:t>Решение Коллегии Евразийской экономической комиссии от 26 мая 2020 года № 68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11</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подпунктом "а" и абзацем третьим подпункта "в" </w:t>
      </w:r>
      <w:r>
        <w:rPr>
          <w:rFonts w:ascii="Times New Roman"/>
          <w:b w:val="false"/>
          <w:i w:val="false"/>
          <w:color w:val="000000"/>
          <w:sz w:val="28"/>
        </w:rPr>
        <w:t>пункта 2</w:t>
      </w:r>
      <w:r>
        <w:rPr>
          <w:rFonts w:ascii="Times New Roman"/>
          <w:b w:val="false"/>
          <w:i w:val="false"/>
          <w:color w:val="000000"/>
          <w:sz w:val="28"/>
        </w:rPr>
        <w:t xml:space="preserve"> Решения Совета Евразийской экономической комиссии от 9 октября 2013 г. № 68 "О техническом регламенте Таможенного союза "О безопасности мяса и мясной продукции", а также с учетом положений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19 ноября 2019 г. № 198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мяса и мясной продукции" (ТР ТС 034/2013),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(ТР ТС 034/2013) и осуществления оценки соответствия объектов технического регулирования"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w:t>
      </w:r>
    </w:p>
    <w:bookmarkEnd w:id="1"/>
    <w:bookmarkStart w:name="z6" w:id="2"/>
    <w:p>
      <w:pPr>
        <w:spacing w:after="0"/>
        <w:ind w:left="0"/>
        <w:jc w:val="both"/>
      </w:pPr>
      <w:r>
        <w:rPr>
          <w:rFonts w:ascii="Times New Roman"/>
          <w:b w:val="false"/>
          <w:i w:val="false"/>
          <w:color w:val="000000"/>
          <w:sz w:val="28"/>
        </w:rPr>
        <w:t xml:space="preserve">
      а) документы об оценке соответствия требованиям технического регламента Таможенного союза "О безопасности мяса и мясной продукции" (ТР ТС 034/2013) (далее – технический регламент) продуктов убоя, на которые распространяются вступающие в силу с 1 июня 2020 г. требования, установленные разделом V технического регламента,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(хлорамфеникола), тетрациклиновой группы и бацитрацина), выданные или принятые до 1 июня 2020 г., действительны до окончания срока их действия; </w:t>
      </w:r>
    </w:p>
    <w:bookmarkEnd w:id="2"/>
    <w:bookmarkStart w:name="z7" w:id="3"/>
    <w:p>
      <w:pPr>
        <w:spacing w:after="0"/>
        <w:ind w:left="0"/>
        <w:jc w:val="both"/>
      </w:pPr>
      <w:r>
        <w:rPr>
          <w:rFonts w:ascii="Times New Roman"/>
          <w:b w:val="false"/>
          <w:i w:val="false"/>
          <w:color w:val="000000"/>
          <w:sz w:val="28"/>
        </w:rPr>
        <w:t>
      б) документы об оценке соответствия требованиям технического регламента мясной продукции, на которую распространяются вступающие в силу с 1 июня 2020 г. требования, установленные подпунктом "в" пункта 107 технического регламента, в части использования придуманного названия мясной продукции, выданные или принятые до 1 июня 2020 г., действительны до окончания срока их действия;</w:t>
      </w:r>
    </w:p>
    <w:bookmarkEnd w:id="3"/>
    <w:bookmarkStart w:name="z8" w:id="4"/>
    <w:p>
      <w:pPr>
        <w:spacing w:after="0"/>
        <w:ind w:left="0"/>
        <w:jc w:val="both"/>
      </w:pPr>
      <w:r>
        <w:rPr>
          <w:rFonts w:ascii="Times New Roman"/>
          <w:b w:val="false"/>
          <w:i w:val="false"/>
          <w:color w:val="000000"/>
          <w:sz w:val="28"/>
        </w:rPr>
        <w:t>
      в) с 1 июня 2020 г. выдача или принятие документов об оценке соответствия продуктов убоя, мясной продукции требованиям технического регламента без учета требований, указанных в подпункте "а" или подпункте "б" настоящего пункта соответственно, не допускается;</w:t>
      </w:r>
    </w:p>
    <w:bookmarkEnd w:id="4"/>
    <w:bookmarkStart w:name="z9" w:id="5"/>
    <w:p>
      <w:pPr>
        <w:spacing w:after="0"/>
        <w:ind w:left="0"/>
        <w:jc w:val="both"/>
      </w:pPr>
      <w:r>
        <w:rPr>
          <w:rFonts w:ascii="Times New Roman"/>
          <w:b w:val="false"/>
          <w:i w:val="false"/>
          <w:color w:val="000000"/>
          <w:sz w:val="28"/>
        </w:rPr>
        <w:t>
      г) обращение продуктов убоя, мясной продукции в период действия документов об оценке соответствия, указанных в подпунктах "а" и "б" настоящего пункта, допускается в течение срока годности этой продукции, установленного ее изготовителем.</w:t>
      </w:r>
    </w:p>
    <w:bookmarkEnd w:id="5"/>
    <w:bookmarkStart w:name="z10" w:id="6"/>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июня 2020 г.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