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c3fd" w14:textId="bacc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красок, лаков и поверхностно-активных средств для кожевенно-обувной промышленности и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сентября 2020 года № 112.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1.8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10 апреля 2020 г. № 6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в отношении красок и лаков для кожевенно-обувной промышленности, классифицируемых кодом 3210 00 900 1 ТН ВЭД ЕАЭС, и поверхностно-активных средств для кожевенно-обувной промышленности, классифицируемых кодом 3402 90 100 2 ТН ВЭД ЕАЭС, в размере 0 процентов от таможенной стоимости с даты вступления в силу настоящего Решения по 31 октября 2023 г. включительно.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3210 00 900 1 ТН ВЭД ЕАЭС и 3402 90 100 2 ТН ВЭД ЕАЭС ссылки на примечания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10С)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соответственно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признать примечание 11С к Единому таможенному тарифу Евразийского экономического союза утратившим силу;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примечания к Единому таможенному тарифу Евразийского экономического союза дополнить примечанием 77С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77С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22 сентября 2020 г. № 112 по 31.10.2023 включительно.".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официального опубликования настоящего Решения, но не ранее 1 января 2022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Коллегии Евразийской экономической комиссии от 28 апреля 2020 г. № 62, позицию с кодом 3402 90 100 2 ТН ВЭД ЕАЭС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