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8919" w14:textId="5378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муки обогащенной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сентября 2020 года № 121. Срок действия Решения - по 3 мая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Решения - по 03.05.2021 включительно (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1101 00 150 0 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"1101 00 150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содержанием витамина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производных не менее 1,2 мг/кг, но не более 2,8 мг/кг, витамина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производных не менее 2,1 мг/кг, но не более 3,9 мг/кг, витамина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производных не менее 9 мг/кг, но не более 11 мг/кг, витамина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производных не менее 0,5 мг/кг, но не более 1,5 мг/кг, железа (в форме NaFeEDTA) не менее 12 мг/кг, но не более 18 мг/кг, цинка (в форме ZnO) не менее 24 мг/кг, но не более 36 мг/кг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1101 00 150 9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прочая".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по истечении 30 календарных дней с даты его официального опубликования и действует по 3 мая 2021 г. включительно.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13.11.2020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г. № 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г. № 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г. № 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