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dd20" w14:textId="ed1d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ставок ввозных таможенных пошлин в отношении товаров, происходящих из Республики Сербии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6 октября 2020 года № 122.</w:t>
      </w:r>
    </w:p>
    <w:p>
      <w:pPr>
        <w:spacing w:after="0"/>
        <w:ind w:left="0"/>
        <w:jc w:val="both"/>
      </w:pPr>
      <w:bookmarkStart w:name="z4" w:id="0"/>
      <w:r>
        <w:rPr>
          <w:rFonts w:ascii="Times New Roman"/>
          <w:b w:val="false"/>
          <w:i w:val="false"/>
          <w:color w:val="000000"/>
          <w:sz w:val="28"/>
        </w:rPr>
        <w:t xml:space="preserve">
      В соответствии со статьей 4 Соглашения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 (далее – Соглашение), приложением № 2 к Соглашению, </w:t>
      </w:r>
      <w:r>
        <w:rPr>
          <w:rFonts w:ascii="Times New Roman"/>
          <w:b w:val="false"/>
          <w:i w:val="false"/>
          <w:color w:val="000000"/>
          <w:sz w:val="28"/>
        </w:rPr>
        <w:t>статьей 35</w:t>
      </w:r>
      <w:r>
        <w:rPr>
          <w:rFonts w:ascii="Times New Roman"/>
          <w:b w:val="false"/>
          <w:i w:val="false"/>
          <w:color w:val="000000"/>
          <w:sz w:val="28"/>
        </w:rPr>
        <w:t xml:space="preserve"> Договора о Евразийском экономическом союзе от 29 мая 2014 года и подпунктом 2 </w:t>
      </w:r>
      <w:r>
        <w:rPr>
          <w:rFonts w:ascii="Times New Roman"/>
          <w:b w:val="false"/>
          <w:i w:val="false"/>
          <w:color w:val="000000"/>
          <w:sz w:val="28"/>
        </w:rPr>
        <w:t>пункта 43</w:t>
      </w:r>
      <w:r>
        <w:rPr>
          <w:rFonts w:ascii="Times New Roman"/>
          <w:b w:val="false"/>
          <w:i w:val="false"/>
          <w:color w:val="000000"/>
          <w:sz w:val="28"/>
        </w:rPr>
        <w:t xml:space="preserve"> Положения о Евразийской экономической комиссии (приложение № 1 к указанному Договору)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применяются изъятия из режима свободной торговли в соответствии с Соглашением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 </w:t>
      </w:r>
    </w:p>
    <w:bookmarkEnd w:id="1"/>
    <w:bookmarkStart w:name="z6" w:id="2"/>
    <w:p>
      <w:pPr>
        <w:spacing w:after="0"/>
        <w:ind w:left="0"/>
        <w:jc w:val="both"/>
      </w:pPr>
      <w:r>
        <w:rPr>
          <w:rFonts w:ascii="Times New Roman"/>
          <w:b w:val="false"/>
          <w:i w:val="false"/>
          <w:color w:val="000000"/>
          <w:sz w:val="28"/>
        </w:rPr>
        <w:t xml:space="preserve">
      2. Установить, что: </w:t>
      </w:r>
    </w:p>
    <w:bookmarkEnd w:id="2"/>
    <w:bookmarkStart w:name="z7" w:id="3"/>
    <w:p>
      <w:pPr>
        <w:spacing w:after="0"/>
        <w:ind w:left="0"/>
        <w:jc w:val="both"/>
      </w:pPr>
      <w:r>
        <w:rPr>
          <w:rFonts w:ascii="Times New Roman"/>
          <w:b w:val="false"/>
          <w:i w:val="false"/>
          <w:color w:val="000000"/>
          <w:sz w:val="28"/>
        </w:rPr>
        <w:t>
      в отношении товаров, происходящих из Республики Сербии и ввозимых на таможенную территорию Евразийского экономического союза в соответствии с Соглашением, применяется тарифная преференция в виде освобождения от уплаты ввозных таможенных пошлин, за исключением товаров, включенных в утвержденный настоящим Решением перечень;</w:t>
      </w:r>
    </w:p>
    <w:bookmarkEnd w:id="3"/>
    <w:bookmarkStart w:name="z8" w:id="4"/>
    <w:p>
      <w:pPr>
        <w:spacing w:after="0"/>
        <w:ind w:left="0"/>
        <w:jc w:val="both"/>
      </w:pPr>
      <w:r>
        <w:rPr>
          <w:rFonts w:ascii="Times New Roman"/>
          <w:b w:val="false"/>
          <w:i w:val="false"/>
          <w:color w:val="000000"/>
          <w:sz w:val="28"/>
        </w:rPr>
        <w:t>
      в отношении происходящих из Республики Сербии и ввозимых на таможенную территорию Евразийского экономического союза в соответствии с Соглашением Гларского сыра, изготовленного с добавлением трав, сыра Буттерказе и сыра из овечьего или козьего молока, классифицируемых кодами 0406 90 690 0, 0406 90 740 0, 0406 90 860 0, 0406 90 890 0, 0406 90 920 0, 0406 90 930 0, 0406 90 990 1 и 0406 90 990 9 ТН ВЭД ЕАЭС, применяется тарифная преференция в виде освобождения от уплаты ввозных таможенных пошлин при наличии в графе 8 сертификата о происхождении товара отметки "Glarus cheese with herbs", или "Buttercase cheese", или "Cheese made of goat’s or sheep’s milk".</w:t>
      </w:r>
    </w:p>
    <w:bookmarkEnd w:id="4"/>
    <w:bookmarkStart w:name="z9" w:id="5"/>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но не ранее даты вступления в силу Соглашения.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6 октября 2020 г. № 122</w:t>
            </w:r>
          </w:p>
        </w:tc>
      </w:tr>
    </w:tbl>
    <w:bookmarkStart w:name="z12" w:id="6"/>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применяются изъятия из режима свободной торговли в соответствии с Соглашением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w:t>
      </w:r>
    </w:p>
    <w:bookmarkEnd w:id="6"/>
    <w:p>
      <w:pPr>
        <w:spacing w:after="0"/>
        <w:ind w:left="0"/>
        <w:jc w:val="both"/>
      </w:pPr>
      <w:r>
        <w:rPr>
          <w:rFonts w:ascii="Times New Roman"/>
          <w:b w:val="false"/>
          <w:i w:val="false"/>
          <w:color w:val="ff0000"/>
          <w:sz w:val="28"/>
        </w:rPr>
        <w:t xml:space="preserve">
      Сноска. Перечень с изменениями, внесенными Решением Коллегии Евразийской экономической комиссии от 21.09.2021 </w:t>
      </w:r>
      <w:r>
        <w:rPr>
          <w:rFonts w:ascii="Times New Roman"/>
          <w:b w:val="false"/>
          <w:i w:val="false"/>
          <w:color w:val="ff0000"/>
          <w:sz w:val="28"/>
        </w:rPr>
        <w:t>№ 123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в дополнительном примечании Евразийского экономического союза 4 </w:t>
            </w:r>
          </w:p>
          <w:p>
            <w:pPr>
              <w:spacing w:after="20"/>
              <w:ind w:left="20"/>
              <w:jc w:val="both"/>
            </w:pPr>
            <w:r>
              <w:rPr>
                <w:rFonts w:ascii="Times New Roman"/>
                <w:b w:val="false"/>
                <w:i w:val="false"/>
                <w:color w:val="000000"/>
                <w:sz w:val="20"/>
              </w:rPr>
              <w:t>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в дополнительном примечании Евразийского экономического союза 4 </w:t>
            </w:r>
          </w:p>
          <w:p>
            <w:pPr>
              <w:spacing w:after="20"/>
              <w:ind w:left="20"/>
              <w:jc w:val="both"/>
            </w:pPr>
            <w:r>
              <w:rPr>
                <w:rFonts w:ascii="Times New Roman"/>
                <w:b w:val="false"/>
                <w:i w:val="false"/>
                <w:color w:val="000000"/>
                <w:sz w:val="20"/>
              </w:rPr>
              <w:t>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в дополнительном примечании Евразийского экономического союза 4 </w:t>
            </w:r>
          </w:p>
          <w:p>
            <w:pPr>
              <w:spacing w:after="20"/>
              <w:ind w:left="20"/>
              <w:jc w:val="both"/>
            </w:pPr>
            <w:r>
              <w:rPr>
                <w:rFonts w:ascii="Times New Roman"/>
                <w:b w:val="false"/>
                <w:i w:val="false"/>
                <w:color w:val="000000"/>
                <w:sz w:val="20"/>
              </w:rPr>
              <w:t>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в дополнительном примечании Евразийского экономического союза 4 </w:t>
            </w:r>
          </w:p>
          <w:p>
            <w:pPr>
              <w:spacing w:after="20"/>
              <w:ind w:left="20"/>
              <w:jc w:val="both"/>
            </w:pPr>
            <w:r>
              <w:rPr>
                <w:rFonts w:ascii="Times New Roman"/>
                <w:b w:val="false"/>
                <w:i w:val="false"/>
                <w:color w:val="000000"/>
                <w:sz w:val="20"/>
              </w:rPr>
              <w:t>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порядке, указанном в дополнительном примечании Евразийского экономического </w:t>
            </w:r>
          </w:p>
          <w:p>
            <w:pPr>
              <w:spacing w:after="20"/>
              <w:ind w:left="20"/>
              <w:jc w:val="both"/>
            </w:pPr>
            <w:r>
              <w:rPr>
                <w:rFonts w:ascii="Times New Roman"/>
                <w:b w:val="false"/>
                <w:i w:val="false"/>
                <w:color w:val="000000"/>
                <w:sz w:val="20"/>
              </w:rPr>
              <w:t>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порядке, указанном в дополнительном примечании Евразийского экономического </w:t>
            </w:r>
          </w:p>
          <w:p>
            <w:pPr>
              <w:spacing w:after="20"/>
              <w:ind w:left="20"/>
              <w:jc w:val="both"/>
            </w:pPr>
            <w:r>
              <w:rPr>
                <w:rFonts w:ascii="Times New Roman"/>
                <w:b w:val="false"/>
                <w:i w:val="false"/>
                <w:color w:val="000000"/>
                <w:sz w:val="20"/>
              </w:rPr>
              <w:t>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порядке, указанном в дополнительном примечании Евразийского экономического </w:t>
            </w:r>
          </w:p>
          <w:p>
            <w:pPr>
              <w:spacing w:after="20"/>
              <w:ind w:left="20"/>
              <w:jc w:val="both"/>
            </w:pPr>
            <w:r>
              <w:rPr>
                <w:rFonts w:ascii="Times New Roman"/>
                <w:b w:val="false"/>
                <w:i w:val="false"/>
                <w:color w:val="000000"/>
                <w:sz w:val="20"/>
              </w:rPr>
              <w:t>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48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48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36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Маасдам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47 мас.%, но не более 52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52 мас.%, но не более 62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62 мас.%, но не более 72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72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Белый сыр из коровьего молока,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Асти спуманте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менее 8,5 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коньяк (Cognac)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арманьяк (Armagnac)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хересный бренди (Brandy de Jerez)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дистилляты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коньяк (Cognac)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арманьяк (Armagnac)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граппа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хересный бренди (Brandy de Jerez)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ром с содержанием летучих веществ, кроме этилового и метилового спиртов, 225 г или более на 1 гектолитр чистого спирта </w:t>
            </w:r>
          </w:p>
          <w:p>
            <w:pPr>
              <w:spacing w:after="20"/>
              <w:ind w:left="20"/>
              <w:jc w:val="both"/>
            </w:pPr>
            <w:r>
              <w:rPr>
                <w:rFonts w:ascii="Times New Roman"/>
                <w:b w:val="false"/>
                <w:i w:val="false"/>
                <w:color w:val="000000"/>
                <w:sz w:val="20"/>
              </w:rPr>
              <w:t>(с допустимым отклонением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7,9 евро за 1 л чистого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ром с содержанием летучих веществ, кроме этилового и метилового спиртов, 225 г или более на 1 гектолитр чистого спирта </w:t>
            </w:r>
          </w:p>
          <w:p>
            <w:pPr>
              <w:spacing w:after="20"/>
              <w:ind w:left="20"/>
              <w:jc w:val="both"/>
            </w:pPr>
            <w:r>
              <w:rPr>
                <w:rFonts w:ascii="Times New Roman"/>
                <w:b w:val="false"/>
                <w:i w:val="false"/>
                <w:color w:val="000000"/>
                <w:sz w:val="20"/>
              </w:rPr>
              <w:t>(с допустимым отклонением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2 евро за 1 л чистого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кальвадос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шочу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фактической концентрацией спирта не более 7 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шочу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сигары, сигары с обрезанными концами и сигариллы,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гвоздику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w:t>
            </w:r>
          </w:p>
          <w:p>
            <w:pPr>
              <w:spacing w:after="20"/>
              <w:ind w:left="20"/>
              <w:jc w:val="both"/>
            </w:pPr>
            <w:r>
              <w:rPr>
                <w:rFonts w:ascii="Times New Roman"/>
                <w:b w:val="false"/>
                <w:i w:val="false"/>
                <w:color w:val="000000"/>
                <w:sz w:val="20"/>
              </w:rPr>
              <w:t xml:space="preserve">714,29 дтекс, но не менее 232,56 дтекс (выше 14 метрического номера, но </w:t>
            </w:r>
          </w:p>
          <w:p>
            <w:pPr>
              <w:spacing w:after="20"/>
              <w:ind w:left="20"/>
              <w:jc w:val="both"/>
            </w:pPr>
            <w:r>
              <w:rPr>
                <w:rFonts w:ascii="Times New Roman"/>
                <w:b w:val="false"/>
                <w:i w:val="false"/>
                <w:color w:val="000000"/>
                <w:sz w:val="20"/>
              </w:rPr>
              <w:t>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w:t>
            </w:r>
          </w:p>
          <w:p>
            <w:pPr>
              <w:spacing w:after="20"/>
              <w:ind w:left="20"/>
              <w:jc w:val="both"/>
            </w:pPr>
            <w:r>
              <w:rPr>
                <w:rFonts w:ascii="Times New Roman"/>
                <w:b w:val="false"/>
                <w:i w:val="false"/>
                <w:color w:val="000000"/>
                <w:sz w:val="20"/>
              </w:rPr>
              <w:t xml:space="preserve">232,56 дтекс, но не менее 192,31 дтекс (выше 43 метрического номера, но </w:t>
            </w:r>
          </w:p>
          <w:p>
            <w:pPr>
              <w:spacing w:after="20"/>
              <w:ind w:left="20"/>
              <w:jc w:val="both"/>
            </w:pPr>
            <w:r>
              <w:rPr>
                <w:rFonts w:ascii="Times New Roman"/>
                <w:b w:val="false"/>
                <w:i w:val="false"/>
                <w:color w:val="000000"/>
                <w:sz w:val="20"/>
              </w:rPr>
              <w:t>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w:t>
            </w:r>
          </w:p>
          <w:p>
            <w:pPr>
              <w:spacing w:after="20"/>
              <w:ind w:left="20"/>
              <w:jc w:val="both"/>
            </w:pPr>
            <w:r>
              <w:rPr>
                <w:rFonts w:ascii="Times New Roman"/>
                <w:b w:val="false"/>
                <w:i w:val="false"/>
                <w:color w:val="000000"/>
                <w:sz w:val="20"/>
              </w:rPr>
              <w:t xml:space="preserve">192,31 дтекс, но не менее 125 дтекс (выше 52 метрического номера, но </w:t>
            </w:r>
          </w:p>
          <w:p>
            <w:pPr>
              <w:spacing w:after="20"/>
              <w:ind w:left="20"/>
              <w:jc w:val="both"/>
            </w:pPr>
            <w:r>
              <w:rPr>
                <w:rFonts w:ascii="Times New Roman"/>
                <w:b w:val="false"/>
                <w:i w:val="false"/>
                <w:color w:val="000000"/>
                <w:sz w:val="20"/>
              </w:rPr>
              <w:t>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менее </w:t>
            </w:r>
          </w:p>
          <w:p>
            <w:pPr>
              <w:spacing w:after="20"/>
              <w:ind w:left="20"/>
              <w:jc w:val="both"/>
            </w:pPr>
            <w:r>
              <w:rPr>
                <w:rFonts w:ascii="Times New Roman"/>
                <w:b w:val="false"/>
                <w:i w:val="false"/>
                <w:color w:val="000000"/>
                <w:sz w:val="20"/>
              </w:rPr>
              <w:t>125 дтекс, но не менее 83,33 дтекс (выше 80 метрического номера, но не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линейной плотности менее </w:t>
            </w:r>
          </w:p>
          <w:p>
            <w:pPr>
              <w:spacing w:after="20"/>
              <w:ind w:left="20"/>
              <w:jc w:val="both"/>
            </w:pPr>
            <w:r>
              <w:rPr>
                <w:rFonts w:ascii="Times New Roman"/>
                <w:b w:val="false"/>
                <w:i w:val="false"/>
                <w:color w:val="000000"/>
                <w:sz w:val="20"/>
              </w:rPr>
              <w:t>83,33 дтекс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w:t>
            </w:r>
          </w:p>
          <w:p>
            <w:pPr>
              <w:spacing w:after="20"/>
              <w:ind w:left="20"/>
              <w:jc w:val="both"/>
            </w:pPr>
            <w:r>
              <w:rPr>
                <w:rFonts w:ascii="Times New Roman"/>
                <w:b w:val="false"/>
                <w:i w:val="false"/>
                <w:color w:val="000000"/>
                <w:sz w:val="20"/>
              </w:rPr>
              <w:t xml:space="preserve">714,29 дтекс, но не менее 232,56 дтекс (выше 14 метрического номера, но </w:t>
            </w:r>
          </w:p>
          <w:p>
            <w:pPr>
              <w:spacing w:after="20"/>
              <w:ind w:left="20"/>
              <w:jc w:val="both"/>
            </w:pPr>
            <w:r>
              <w:rPr>
                <w:rFonts w:ascii="Times New Roman"/>
                <w:b w:val="false"/>
                <w:i w:val="false"/>
                <w:color w:val="000000"/>
                <w:sz w:val="20"/>
              </w:rPr>
              <w:t>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w:t>
            </w:r>
          </w:p>
          <w:p>
            <w:pPr>
              <w:spacing w:after="20"/>
              <w:ind w:left="20"/>
              <w:jc w:val="both"/>
            </w:pPr>
            <w:r>
              <w:rPr>
                <w:rFonts w:ascii="Times New Roman"/>
                <w:b w:val="false"/>
                <w:i w:val="false"/>
                <w:color w:val="000000"/>
                <w:sz w:val="20"/>
              </w:rPr>
              <w:t xml:space="preserve">232,56 дтекс, но не менее 192,31 дтекс (выше 43 метрического номера, но </w:t>
            </w:r>
          </w:p>
          <w:p>
            <w:pPr>
              <w:spacing w:after="20"/>
              <w:ind w:left="20"/>
              <w:jc w:val="both"/>
            </w:pPr>
            <w:r>
              <w:rPr>
                <w:rFonts w:ascii="Times New Roman"/>
                <w:b w:val="false"/>
                <w:i w:val="false"/>
                <w:color w:val="000000"/>
                <w:sz w:val="20"/>
              </w:rPr>
              <w:t>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w:t>
            </w:r>
          </w:p>
          <w:p>
            <w:pPr>
              <w:spacing w:after="20"/>
              <w:ind w:left="20"/>
              <w:jc w:val="both"/>
            </w:pPr>
            <w:r>
              <w:rPr>
                <w:rFonts w:ascii="Times New Roman"/>
                <w:b w:val="false"/>
                <w:i w:val="false"/>
                <w:color w:val="000000"/>
                <w:sz w:val="20"/>
              </w:rPr>
              <w:t xml:space="preserve">192,31 дтекс, но не менее 125 дтекс (выше 52 метрического номера, но </w:t>
            </w:r>
          </w:p>
          <w:p>
            <w:pPr>
              <w:spacing w:after="20"/>
              <w:ind w:left="20"/>
              <w:jc w:val="both"/>
            </w:pPr>
            <w:r>
              <w:rPr>
                <w:rFonts w:ascii="Times New Roman"/>
                <w:b w:val="false"/>
                <w:i w:val="false"/>
                <w:color w:val="000000"/>
                <w:sz w:val="20"/>
              </w:rPr>
              <w:t>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125 дтекс, но не менее 106,38 дтекс (выше </w:t>
            </w:r>
          </w:p>
          <w:p>
            <w:pPr>
              <w:spacing w:after="20"/>
              <w:ind w:left="20"/>
              <w:jc w:val="both"/>
            </w:pPr>
            <w:r>
              <w:rPr>
                <w:rFonts w:ascii="Times New Roman"/>
                <w:b w:val="false"/>
                <w:i w:val="false"/>
                <w:color w:val="000000"/>
                <w:sz w:val="20"/>
              </w:rPr>
              <w:t>80 метрического номера, но не выше 94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менее </w:t>
            </w:r>
          </w:p>
          <w:p>
            <w:pPr>
              <w:spacing w:after="20"/>
              <w:ind w:left="20"/>
              <w:jc w:val="both"/>
            </w:pPr>
            <w:r>
              <w:rPr>
                <w:rFonts w:ascii="Times New Roman"/>
                <w:b w:val="false"/>
                <w:i w:val="false"/>
                <w:color w:val="000000"/>
                <w:sz w:val="20"/>
              </w:rPr>
              <w:t xml:space="preserve">106,38 дтекс, но не менее 83,33 дтекс (выше 94 метрического номера, но </w:t>
            </w:r>
          </w:p>
          <w:p>
            <w:pPr>
              <w:spacing w:after="20"/>
              <w:ind w:left="20"/>
              <w:jc w:val="both"/>
            </w:pPr>
            <w:r>
              <w:rPr>
                <w:rFonts w:ascii="Times New Roman"/>
                <w:b w:val="false"/>
                <w:i w:val="false"/>
                <w:color w:val="000000"/>
                <w:sz w:val="20"/>
              </w:rPr>
              <w:t>не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w:t>
            </w:r>
          </w:p>
          <w:p>
            <w:pPr>
              <w:spacing w:after="20"/>
              <w:ind w:left="20"/>
              <w:jc w:val="both"/>
            </w:pPr>
            <w:r>
              <w:rPr>
                <w:rFonts w:ascii="Times New Roman"/>
                <w:b w:val="false"/>
                <w:i w:val="false"/>
                <w:color w:val="000000"/>
                <w:sz w:val="20"/>
              </w:rPr>
              <w:t xml:space="preserve">714,29 дтекс, но не менее 232,56 дтекс (выше 14 метрического номера, но </w:t>
            </w:r>
          </w:p>
          <w:p>
            <w:pPr>
              <w:spacing w:after="20"/>
              <w:ind w:left="20"/>
              <w:jc w:val="both"/>
            </w:pPr>
            <w:r>
              <w:rPr>
                <w:rFonts w:ascii="Times New Roman"/>
                <w:b w:val="false"/>
                <w:i w:val="false"/>
                <w:color w:val="000000"/>
                <w:sz w:val="20"/>
              </w:rPr>
              <w:t>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w:t>
            </w:r>
          </w:p>
          <w:p>
            <w:pPr>
              <w:spacing w:after="20"/>
              <w:ind w:left="20"/>
              <w:jc w:val="both"/>
            </w:pPr>
            <w:r>
              <w:rPr>
                <w:rFonts w:ascii="Times New Roman"/>
                <w:b w:val="false"/>
                <w:i w:val="false"/>
                <w:color w:val="000000"/>
                <w:sz w:val="20"/>
              </w:rPr>
              <w:t xml:space="preserve">232,56 дтекс, но не менее 192,31 дтекс (выше 43 метрического номера, но </w:t>
            </w:r>
          </w:p>
          <w:p>
            <w:pPr>
              <w:spacing w:after="20"/>
              <w:ind w:left="20"/>
              <w:jc w:val="both"/>
            </w:pPr>
            <w:r>
              <w:rPr>
                <w:rFonts w:ascii="Times New Roman"/>
                <w:b w:val="false"/>
                <w:i w:val="false"/>
                <w:color w:val="000000"/>
                <w:sz w:val="20"/>
              </w:rPr>
              <w:t>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w:t>
            </w:r>
          </w:p>
          <w:p>
            <w:pPr>
              <w:spacing w:after="20"/>
              <w:ind w:left="20"/>
              <w:jc w:val="both"/>
            </w:pPr>
            <w:r>
              <w:rPr>
                <w:rFonts w:ascii="Times New Roman"/>
                <w:b w:val="false"/>
                <w:i w:val="false"/>
                <w:color w:val="000000"/>
                <w:sz w:val="20"/>
              </w:rPr>
              <w:t xml:space="preserve">192,31 дтекс, но не менее 125 дтекс (выше 52 метрического номера, но </w:t>
            </w:r>
          </w:p>
          <w:p>
            <w:pPr>
              <w:spacing w:after="20"/>
              <w:ind w:left="20"/>
              <w:jc w:val="both"/>
            </w:pPr>
            <w:r>
              <w:rPr>
                <w:rFonts w:ascii="Times New Roman"/>
                <w:b w:val="false"/>
                <w:i w:val="false"/>
                <w:color w:val="000000"/>
                <w:sz w:val="20"/>
              </w:rPr>
              <w:t>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w:t>
            </w:r>
          </w:p>
          <w:p>
            <w:pPr>
              <w:spacing w:after="20"/>
              <w:ind w:left="20"/>
              <w:jc w:val="both"/>
            </w:pPr>
            <w:r>
              <w:rPr>
                <w:rFonts w:ascii="Times New Roman"/>
                <w:b w:val="false"/>
                <w:i w:val="false"/>
                <w:color w:val="000000"/>
                <w:sz w:val="20"/>
              </w:rPr>
              <w:t xml:space="preserve">714,29 дтекс, но не менее 232,56 дтекс (выше 14 метрического номера, но </w:t>
            </w:r>
          </w:p>
          <w:p>
            <w:pPr>
              <w:spacing w:after="20"/>
              <w:ind w:left="20"/>
              <w:jc w:val="both"/>
            </w:pPr>
            <w:r>
              <w:rPr>
                <w:rFonts w:ascii="Times New Roman"/>
                <w:b w:val="false"/>
                <w:i w:val="false"/>
                <w:color w:val="000000"/>
                <w:sz w:val="20"/>
              </w:rPr>
              <w:t>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w:t>
            </w:r>
          </w:p>
          <w:p>
            <w:pPr>
              <w:spacing w:after="20"/>
              <w:ind w:left="20"/>
              <w:jc w:val="both"/>
            </w:pPr>
            <w:r>
              <w:rPr>
                <w:rFonts w:ascii="Times New Roman"/>
                <w:b w:val="false"/>
                <w:i w:val="false"/>
                <w:color w:val="000000"/>
                <w:sz w:val="20"/>
              </w:rPr>
              <w:t xml:space="preserve">232,56 дтекс, но не менее 192,31 дтекс (выше 43 метрического номера, но </w:t>
            </w:r>
          </w:p>
          <w:p>
            <w:pPr>
              <w:spacing w:after="20"/>
              <w:ind w:left="20"/>
              <w:jc w:val="both"/>
            </w:pPr>
            <w:r>
              <w:rPr>
                <w:rFonts w:ascii="Times New Roman"/>
                <w:b w:val="false"/>
                <w:i w:val="false"/>
                <w:color w:val="000000"/>
                <w:sz w:val="20"/>
              </w:rPr>
              <w:t>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w:t>
            </w:r>
          </w:p>
          <w:p>
            <w:pPr>
              <w:spacing w:after="20"/>
              <w:ind w:left="20"/>
              <w:jc w:val="both"/>
            </w:pPr>
            <w:r>
              <w:rPr>
                <w:rFonts w:ascii="Times New Roman"/>
                <w:b w:val="false"/>
                <w:i w:val="false"/>
                <w:color w:val="000000"/>
                <w:sz w:val="20"/>
              </w:rPr>
              <w:t xml:space="preserve">192,31 дтекс, но не менее 125 дтекс (выше 52 метрического номера, но </w:t>
            </w:r>
          </w:p>
          <w:p>
            <w:pPr>
              <w:spacing w:after="20"/>
              <w:ind w:left="20"/>
              <w:jc w:val="both"/>
            </w:pPr>
            <w:r>
              <w:rPr>
                <w:rFonts w:ascii="Times New Roman"/>
                <w:b w:val="false"/>
                <w:i w:val="false"/>
                <w:color w:val="000000"/>
                <w:sz w:val="20"/>
              </w:rPr>
              <w:t>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125 дтекс, но не менее 106,38 дтекс (выше </w:t>
            </w:r>
          </w:p>
          <w:p>
            <w:pPr>
              <w:spacing w:after="20"/>
              <w:ind w:left="20"/>
              <w:jc w:val="both"/>
            </w:pPr>
            <w:r>
              <w:rPr>
                <w:rFonts w:ascii="Times New Roman"/>
                <w:b w:val="false"/>
                <w:i w:val="false"/>
                <w:color w:val="000000"/>
                <w:sz w:val="20"/>
              </w:rPr>
              <w:t>80 метрического номера, но не выше 94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w:t>
            </w:r>
          </w:p>
          <w:p>
            <w:pPr>
              <w:spacing w:after="20"/>
              <w:ind w:left="20"/>
              <w:jc w:val="both"/>
            </w:pPr>
            <w:r>
              <w:rPr>
                <w:rFonts w:ascii="Times New Roman"/>
                <w:b w:val="false"/>
                <w:i w:val="false"/>
                <w:color w:val="000000"/>
                <w:sz w:val="20"/>
              </w:rPr>
              <w:t xml:space="preserve">106,38 дтекс, но не менее 83,33 дтекс (выше 94 метрического номера, но </w:t>
            </w:r>
          </w:p>
          <w:p>
            <w:pPr>
              <w:spacing w:after="20"/>
              <w:ind w:left="20"/>
              <w:jc w:val="both"/>
            </w:pPr>
            <w:r>
              <w:rPr>
                <w:rFonts w:ascii="Times New Roman"/>
                <w:b w:val="false"/>
                <w:i w:val="false"/>
                <w:color w:val="000000"/>
                <w:sz w:val="20"/>
              </w:rPr>
              <w:t>не выше 120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линейной плотности для однониточной пряжи менее </w:t>
            </w:r>
          </w:p>
          <w:p>
            <w:pPr>
              <w:spacing w:after="20"/>
              <w:ind w:left="20"/>
              <w:jc w:val="both"/>
            </w:pPr>
            <w:r>
              <w:rPr>
                <w:rFonts w:ascii="Times New Roman"/>
                <w:b w:val="false"/>
                <w:i w:val="false"/>
                <w:color w:val="000000"/>
                <w:sz w:val="20"/>
              </w:rPr>
              <w:t>83,33 дтекс (выше 120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w:t>
            </w:r>
          </w:p>
          <w:p>
            <w:pPr>
              <w:spacing w:after="20"/>
              <w:ind w:left="20"/>
              <w:jc w:val="both"/>
            </w:pPr>
            <w:r>
              <w:rPr>
                <w:rFonts w:ascii="Times New Roman"/>
                <w:b w:val="false"/>
                <w:i w:val="false"/>
                <w:color w:val="000000"/>
                <w:sz w:val="20"/>
              </w:rPr>
              <w:t>100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полотняного переплетения, с поверхностной плотностью более </w:t>
            </w:r>
          </w:p>
          <w:p>
            <w:pPr>
              <w:spacing w:after="20"/>
              <w:ind w:left="20"/>
              <w:jc w:val="both"/>
            </w:pPr>
            <w:r>
              <w:rPr>
                <w:rFonts w:ascii="Times New Roman"/>
                <w:b w:val="false"/>
                <w:i w:val="false"/>
                <w:color w:val="000000"/>
                <w:sz w:val="20"/>
              </w:rPr>
              <w:t>100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тафтинговые текстильные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одноцветные, без узора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на тамбурных машинах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на тамбурных машинах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ворсовые ткани (включая махровые полотенечные и аналогичные махровые ткани) и 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5 мас.% или более эластомерных или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тканой кромкой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безуточные, скрепленные склеиванием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ткаными надписями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войлока или фетра или нетканых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ценой более 35 евро/кг (нетто-масса)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ценой более 17,50 евро/кг </w:t>
            </w:r>
          </w:p>
          <w:p>
            <w:pPr>
              <w:spacing w:after="20"/>
              <w:ind w:left="20"/>
              <w:jc w:val="both"/>
            </w:pPr>
            <w:r>
              <w:rPr>
                <w:rFonts w:ascii="Times New Roman"/>
                <w:b w:val="false"/>
                <w:i w:val="false"/>
                <w:color w:val="000000"/>
                <w:sz w:val="20"/>
              </w:rPr>
              <w:t>(нетто-масса)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ценой более 17,50 евро/кг </w:t>
            </w:r>
          </w:p>
          <w:p>
            <w:pPr>
              <w:spacing w:after="20"/>
              <w:ind w:left="20"/>
              <w:jc w:val="both"/>
            </w:pPr>
            <w:r>
              <w:rPr>
                <w:rFonts w:ascii="Times New Roman"/>
                <w:b w:val="false"/>
                <w:i w:val="false"/>
                <w:color w:val="000000"/>
                <w:sz w:val="20"/>
              </w:rPr>
              <w:t>(нетто-масса)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ценой более 17,50 евро/кг </w:t>
            </w:r>
          </w:p>
          <w:p>
            <w:pPr>
              <w:spacing w:after="20"/>
              <w:ind w:left="20"/>
              <w:jc w:val="both"/>
            </w:pPr>
            <w:r>
              <w:rPr>
                <w:rFonts w:ascii="Times New Roman"/>
                <w:b w:val="false"/>
                <w:i w:val="false"/>
                <w:color w:val="000000"/>
                <w:sz w:val="20"/>
              </w:rPr>
              <w:t>(нетто-масса)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мощностью более 0,4 кВт, но </w:t>
            </w:r>
          </w:p>
          <w:p>
            <w:pPr>
              <w:spacing w:after="20"/>
              <w:ind w:left="20"/>
              <w:jc w:val="both"/>
            </w:pPr>
            <w:r>
              <w:rPr>
                <w:rFonts w:ascii="Times New Roman"/>
                <w:b w:val="false"/>
                <w:i w:val="false"/>
                <w:color w:val="000000"/>
                <w:sz w:val="20"/>
              </w:rPr>
              <w:t>не более 1,3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мощностью более 1,3 кВт, но </w:t>
            </w:r>
          </w:p>
          <w:p>
            <w:pPr>
              <w:spacing w:after="20"/>
              <w:ind w:left="20"/>
              <w:jc w:val="both"/>
            </w:pPr>
            <w:r>
              <w:rPr>
                <w:rFonts w:ascii="Times New Roman"/>
                <w:b w:val="false"/>
                <w:i w:val="false"/>
                <w:color w:val="000000"/>
                <w:sz w:val="20"/>
              </w:rPr>
              <w:t>не более 10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одноосные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экологического класса 4 или выше</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экологического класса 4 или выше</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экологического класса 4 или выше</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тягачи седельные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экологического класса 4 или выше</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прокладывания лыжных трасс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трелевочные тракторы (скиддеры) для лесного хозяйства, колесные, новые, с мощностью двигателя более </w:t>
            </w:r>
          </w:p>
          <w:p>
            <w:pPr>
              <w:spacing w:after="20"/>
              <w:ind w:left="20"/>
              <w:jc w:val="both"/>
            </w:pPr>
            <w:r>
              <w:rPr>
                <w:rFonts w:ascii="Times New Roman"/>
                <w:b w:val="false"/>
                <w:i w:val="false"/>
                <w:color w:val="000000"/>
                <w:sz w:val="20"/>
              </w:rPr>
              <w:t>90 кВт, но не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трелевочные тракторы (скиддеры) для лесного хозяйства, колесные, новые, с мощностью двигателя более </w:t>
            </w:r>
          </w:p>
          <w:p>
            <w:pPr>
              <w:spacing w:after="20"/>
              <w:ind w:left="20"/>
              <w:jc w:val="both"/>
            </w:pPr>
            <w:r>
              <w:rPr>
                <w:rFonts w:ascii="Times New Roman"/>
                <w:b w:val="false"/>
                <w:i w:val="false"/>
                <w:color w:val="000000"/>
                <w:sz w:val="20"/>
              </w:rPr>
              <w:t>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 xml:space="preserve">, габаритной длиной </w:t>
            </w:r>
          </w:p>
          <w:p>
            <w:pPr>
              <w:spacing w:after="20"/>
              <w:ind w:left="20"/>
              <w:jc w:val="both"/>
            </w:pPr>
            <w:r>
              <w:rPr>
                <w:rFonts w:ascii="Times New Roman"/>
                <w:b w:val="false"/>
                <w:i w:val="false"/>
                <w:color w:val="000000"/>
                <w:sz w:val="20"/>
              </w:rPr>
              <w:t xml:space="preserve">не менее 11,5 м, имеющие </w:t>
            </w:r>
          </w:p>
          <w:p>
            <w:pPr>
              <w:spacing w:after="20"/>
              <w:ind w:left="20"/>
              <w:jc w:val="both"/>
            </w:pPr>
            <w:r>
              <w:rPr>
                <w:rFonts w:ascii="Times New Roman"/>
                <w:b w:val="false"/>
                <w:i w:val="false"/>
                <w:color w:val="000000"/>
                <w:sz w:val="20"/>
              </w:rPr>
              <w:t>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 xml:space="preserve">, габаритной длиной </w:t>
            </w:r>
          </w:p>
          <w:p>
            <w:pPr>
              <w:spacing w:after="20"/>
              <w:ind w:left="20"/>
              <w:jc w:val="both"/>
            </w:pPr>
            <w:r>
              <w:rPr>
                <w:rFonts w:ascii="Times New Roman"/>
                <w:b w:val="false"/>
                <w:i w:val="false"/>
                <w:color w:val="000000"/>
                <w:sz w:val="20"/>
              </w:rPr>
              <w:t xml:space="preserve">не менее 11,5 м, имеющие </w:t>
            </w:r>
          </w:p>
          <w:p>
            <w:pPr>
              <w:spacing w:after="20"/>
              <w:ind w:left="20"/>
              <w:jc w:val="both"/>
            </w:pPr>
            <w:r>
              <w:rPr>
                <w:rFonts w:ascii="Times New Roman"/>
                <w:b w:val="false"/>
                <w:i w:val="false"/>
                <w:color w:val="000000"/>
                <w:sz w:val="20"/>
              </w:rPr>
              <w:t>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40 000 1</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 предназначенные для медицинских целей,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40 000 2</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предназначенные для перевозки более 120 человек, включая водителя,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40 000 9</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90 801 0</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специально предназначенные для медицинских целей,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90 802 0</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предназначенные для перевозки более 120 человек, включая водителя,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 90 809 0</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транспортные средства, специально предназначенные для движения по снегу, с поршневым двигателем внутреннего сгорания с воспламенением от сжатия (дизелем или полудизелем), или с поршневым двигателем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8703 10 180 0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транспортные средства, оборудованные для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рабочим объемом цилиндров двигателя более 1500 см³, но </w:t>
            </w:r>
          </w:p>
          <w:p>
            <w:pPr>
              <w:spacing w:after="20"/>
              <w:ind w:left="20"/>
              <w:jc w:val="both"/>
            </w:pPr>
            <w:r>
              <w:rPr>
                <w:rFonts w:ascii="Times New Roman"/>
                <w:b w:val="false"/>
                <w:i w:val="false"/>
                <w:color w:val="000000"/>
                <w:sz w:val="20"/>
              </w:rPr>
              <w:t>не более 1800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рабочим объемом цилиндров двигателя более 1800 см³, но не более </w:t>
            </w:r>
          </w:p>
          <w:p>
            <w:pPr>
              <w:spacing w:after="20"/>
              <w:ind w:left="20"/>
              <w:jc w:val="both"/>
            </w:pPr>
            <w:r>
              <w:rPr>
                <w:rFonts w:ascii="Times New Roman"/>
                <w:b w:val="false"/>
                <w:i w:val="false"/>
                <w:color w:val="000000"/>
                <w:sz w:val="20"/>
              </w:rPr>
              <w:t>2300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рабочим объемом цилиндров двигателя более 2300 см³, но не более </w:t>
            </w:r>
          </w:p>
          <w:p>
            <w:pPr>
              <w:spacing w:after="20"/>
              <w:ind w:left="20"/>
              <w:jc w:val="both"/>
            </w:pPr>
            <w:r>
              <w:rPr>
                <w:rFonts w:ascii="Times New Roman"/>
                <w:b w:val="false"/>
                <w:i w:val="false"/>
                <w:color w:val="000000"/>
                <w:sz w:val="20"/>
              </w:rPr>
              <w:t>2800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автомобили повышенной проходимости, поименованные в дополнительном примечании Евразийского экономического союза 6 </w:t>
            </w:r>
          </w:p>
          <w:p>
            <w:pPr>
              <w:spacing w:after="20"/>
              <w:ind w:left="20"/>
              <w:jc w:val="both"/>
            </w:pPr>
            <w:r>
              <w:rPr>
                <w:rFonts w:ascii="Times New Roman"/>
                <w:b w:val="false"/>
                <w:i w:val="false"/>
                <w:color w:val="000000"/>
                <w:sz w:val="20"/>
              </w:rPr>
              <w:t>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повышенной проходимости с рабочим объемом цилиндров двигателя более 4200 см³, поименованные </w:t>
            </w:r>
          </w:p>
          <w:p>
            <w:pPr>
              <w:spacing w:after="20"/>
              <w:ind w:left="20"/>
              <w:jc w:val="both"/>
            </w:pPr>
            <w:r>
              <w:rPr>
                <w:rFonts w:ascii="Times New Roman"/>
                <w:b w:val="false"/>
                <w:i w:val="false"/>
                <w:color w:val="000000"/>
                <w:sz w:val="20"/>
              </w:rPr>
              <w:t>в дополнительном примечании Евразийского экономического союза 6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повышенной проходимости с рабочим объемом цилиндров двигателя более 3000 см³, но менее </w:t>
            </w:r>
          </w:p>
          <w:p>
            <w:pPr>
              <w:spacing w:after="20"/>
              <w:ind w:left="20"/>
              <w:jc w:val="both"/>
            </w:pPr>
            <w:r>
              <w:rPr>
                <w:rFonts w:ascii="Times New Roman"/>
                <w:b w:val="false"/>
                <w:i w:val="false"/>
                <w:color w:val="000000"/>
                <w:sz w:val="20"/>
              </w:rPr>
              <w:t>3500 см³, поименованные в дополнительном примечании Евразийского экономического союза 6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у которых мощность двигателя внутреннего сгорания больше максимальной </w:t>
            </w:r>
          </w:p>
          <w:p>
            <w:pPr>
              <w:spacing w:after="20"/>
              <w:ind w:left="20"/>
              <w:jc w:val="both"/>
            </w:pPr>
            <w:r>
              <w:rPr>
                <w:rFonts w:ascii="Times New Roman"/>
                <w:b w:val="false"/>
                <w:i w:val="false"/>
                <w:color w:val="000000"/>
                <w:sz w:val="20"/>
              </w:rPr>
              <w:t>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автомобили, специально предназначенные для медицинских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 52 990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bl>
    <w:bookmarkStart w:name="z14" w:id="7"/>
    <w:p>
      <w:pPr>
        <w:spacing w:after="0"/>
        <w:ind w:left="0"/>
        <w:jc w:val="both"/>
      </w:pPr>
      <w:r>
        <w:rPr>
          <w:rFonts w:ascii="Times New Roman"/>
          <w:b w:val="false"/>
          <w:i w:val="false"/>
          <w:color w:val="000000"/>
          <w:sz w:val="28"/>
        </w:rPr>
        <w:t xml:space="preserve">
      * За исключением: </w:t>
      </w:r>
    </w:p>
    <w:bookmarkEnd w:id="7"/>
    <w:bookmarkStart w:name="z15" w:id="8"/>
    <w:p>
      <w:pPr>
        <w:spacing w:after="0"/>
        <w:ind w:left="0"/>
        <w:jc w:val="both"/>
      </w:pPr>
      <w:r>
        <w:rPr>
          <w:rFonts w:ascii="Times New Roman"/>
          <w:b w:val="false"/>
          <w:i w:val="false"/>
          <w:color w:val="000000"/>
          <w:sz w:val="28"/>
        </w:rPr>
        <w:t xml:space="preserve">
      товаров, ввозимых на таможенную территорию Евразийского экономического союза в рамках тарифных квот в соответствии с Соглашением о зоне свободной торговли между Евразийским экономическим союзом и его государствами-членами, с одной стороны, и Республикой Сербией, с другой стороны, от 25 октября 2019 года. Ставка ввозной таможенной пошлины в размере 0 (ноль) % от таможенной стоимости применяется при наличии лицензии, выданной уполномоченным органом государства – члена Евразийского экономического союза; </w:t>
      </w:r>
    </w:p>
    <w:bookmarkEnd w:id="8"/>
    <w:bookmarkStart w:name="z16" w:id="9"/>
    <w:p>
      <w:pPr>
        <w:spacing w:after="0"/>
        <w:ind w:left="0"/>
        <w:jc w:val="both"/>
      </w:pPr>
      <w:r>
        <w:rPr>
          <w:rFonts w:ascii="Times New Roman"/>
          <w:b w:val="false"/>
          <w:i w:val="false"/>
          <w:color w:val="000000"/>
          <w:sz w:val="28"/>
        </w:rPr>
        <w:t>
      отдельных видов сыров, указанных в абзаце третьем пункта 2 Решения Коллегии Евразийской экономической комиссии от 2020 г. № "О применении ставок ввозных таможенных пошлин в отношении товаров, происходящих из Республики Сербии и ввозимых на таможенную территорию Евразийского экономического союза".</w:t>
      </w:r>
    </w:p>
    <w:bookmarkEnd w:id="9"/>
    <w:p>
      <w:pPr>
        <w:spacing w:after="0"/>
        <w:ind w:left="0"/>
        <w:jc w:val="both"/>
      </w:pPr>
      <w:r>
        <w:rPr>
          <w:rFonts w:ascii="Times New Roman"/>
          <w:b w:val="false"/>
          <w:i w:val="false"/>
          <w:color w:val="000000"/>
          <w:sz w:val="28"/>
        </w:rPr>
        <w:t>
      ** Необходимо руководствоваться как кодом ТН ВЭД ЕАЭС, так и наименованием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