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3bbb" w14:textId="5933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гусеничных бульдозеров с неповоротным и поворотным отвалом мощностью до 250 л.с.,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ноября 2020 года № 142. Утратило силу решением Коллегии Евразийской экономической комиссии от 29 июня 2021 года № 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по 29 июля 2021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ноября 2015 г. № 148 "О применении антидемпинговой меры в отношении гусеничных бульдозеров с неповоротным и поворотным отвалом мощностью до 250 л.с., происходящих из Китайской Народной Республики и ввозимых на таможенную территорию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29 июля 2021 г.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ноября 2015 г. № 148, в порядке, установленном для взимания предварительных антидемпинговых пошлин.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12 декабря 2020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