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79a8" w14:textId="f397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плавикового шпата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декабря 2020 года № 167.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исключить из единой Товарной номенклатуры внешнеэкономической деятельности Евразийского экономического союза 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 дополнить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примечанием 86С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 Ставка ввозной таможенной пошлины в размере 0 (ноль) % от таможенной стоимости применяется с даты вступления в силу Решения Коллегии Евразийской экономической комиссии от 15 декабря 2020 г. № 167 по 28.02.2022 включительно.".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 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в отношении плавикового шпата.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г. № 167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внешнеэкономической деятельности Евразийского экономического союза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2529 21 000 0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 – с содержанием фторида кальция 97 мас. %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г. № 167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внешнеэкономической деятельности Евразийского экономического союза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2529 21 000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с содержанием фторида кальция 97 мас. % или менее: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2529 21 000 1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с содержанием фторида кальция не менее 95 мас. %, но не более 97 мас.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2529 21 000 9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г. № 167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2529 21 000 1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с содержанием фторида кальция не менее 95 мас. %, но не более 97 мас.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2529 21 000 9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