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4f6c" w14:textId="2294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налоговой политике и администрированию</w:t>
      </w:r>
    </w:p>
    <w:p>
      <w:pPr>
        <w:spacing w:after="0"/>
        <w:ind w:left="0"/>
        <w:jc w:val="both"/>
      </w:pPr>
      <w:r>
        <w:rPr>
          <w:rFonts w:ascii="Times New Roman"/>
          <w:b w:val="false"/>
          <w:i w:val="false"/>
          <w:color w:val="000000"/>
          <w:sz w:val="28"/>
        </w:rPr>
        <w:t>Распоряжение Коллегии Евразийской экономической комиссии от 7 апреля 2020 года № 50</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налоговой политике и администрированию, утвержденный распоряжением Коллегии Евразийской экономической комиссии от 28 сентября 2015 г. № 97, следующие изменения:</w:t>
      </w:r>
    </w:p>
    <w:bookmarkEnd w:id="0"/>
    <w:bookmarkStart w:name="z5" w:id="1"/>
    <w:p>
      <w:pPr>
        <w:spacing w:after="0"/>
        <w:ind w:left="0"/>
        <w:jc w:val="both"/>
      </w:pPr>
      <w:r>
        <w:rPr>
          <w:rFonts w:ascii="Times New Roman"/>
          <w:b w:val="false"/>
          <w:i w:val="false"/>
          <w:color w:val="000000"/>
          <w:sz w:val="28"/>
        </w:rPr>
        <w:t xml:space="preserve">
      а) включить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следующих лиц: </w:t>
      </w:r>
    </w:p>
    <w:bookmarkEnd w:id="1"/>
    <w:tbl>
      <w:tblPr>
        <w:tblW w:w="0" w:type="auto"/>
        <w:tblCellSpacing w:w="0" w:type="auto"/>
        <w:tblBorders>
          <w:top w:val="none"/>
          <w:left w:val="none"/>
          <w:bottom w:val="none"/>
          <w:right w:val="none"/>
          <w:insideH w:val="none"/>
          <w:insideV w:val="none"/>
        </w:tblBorders>
      </w:tblPr>
      <w:tblGrid>
        <w:gridCol w:w="1188"/>
        <w:gridCol w:w="1188"/>
        <w:gridCol w:w="5"/>
        <w:gridCol w:w="9919"/>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Абулаисов Галымжан Аманжолович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экономической интеграции Министерства торговли и интеграции Республики Казахстан</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Шаймаханов Нурлыбек Акылбекович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налоговой политики Департамента налоговой и таможенной политики Министерства национальной экономики Республики Казахстан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Бекболот Абдыганыевич</w:t>
            </w:r>
          </w:p>
        </w:tc>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Министра экономики Кыргызской Республики </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Алишеров Эльдар Туралиевич</w:t>
            </w:r>
          </w:p>
        </w:tc>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Министра экономики Кыргызской Республики </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Бегалиева Айнура Каниметовна</w:t>
            </w:r>
          </w:p>
        </w:tc>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инспектор отдела взаимодействия с ЕАЭС Управления контроля за косвенными налогами Государственной налоговой службы при Правительстве Кыргызской Республики </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Карагулова Айдай Нурдиновна </w:t>
            </w:r>
          </w:p>
        </w:tc>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председателя Государственной налоговой службы при Правительстве Кыргызской Республики </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Мамбетова Айгуль Анаркуловна</w:t>
            </w:r>
          </w:p>
        </w:tc>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старший инспектор отдела взаимодействия с ЕАЭС Управления контроля за косвенными налогами Государственной налоговой службы при Правительстве Кыргызской Республики </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Муканбетов Чынгыз Сапарбекович</w:t>
            </w:r>
          </w:p>
        </w:tc>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аналитической работы Управления информационных технологий Государственной налоговой службы при Правительстве Кыргызской Республики </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Надырбеков Рысбек Асанбекович</w:t>
            </w:r>
          </w:p>
        </w:tc>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методологии налогов Управления методологии Государственной налоговой службы при Правительстве Кыргызской Республики </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Осмоналиев Чингиз Мидинович</w:t>
            </w:r>
          </w:p>
        </w:tc>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контроля, мониторинга и анализа Управления Государственной налоговой службы при Правительстве Кыргызской Республики по работе с косвенными налогами в рамках ЕАЭС по Чуйской и Таласской областям </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Султанкулов Рустамбек Уманбекович</w:t>
            </w:r>
          </w:p>
        </w:tc>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методологии контроля Управления проверок Государственной налоговой службы при Правительстве Кыргызской Республики </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Умтулов Нурлан Джумалиевич</w:t>
            </w:r>
          </w:p>
        </w:tc>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методологии Государственной налоговой службы при Правительстве Кыргызской Республики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Базанова Светлана Олеговна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акцизов Департамента налоговой и таможенной политики Министерства финансов Российской Федерации </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Бартенев Константин Николаевич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отдела методологии автоматизации камерального контроля Управления камерального контроля Федеральной налоговой службы</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Стенникова Ольга Олеговна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организации камерального контроля Управления камерального контроля Федеральной налоговой службы;</w:t>
            </w:r>
          </w:p>
        </w:tc>
      </w:tr>
    </w:tbl>
    <w:bookmarkStart w:name="z6" w:id="2"/>
    <w:p>
      <w:pPr>
        <w:spacing w:after="0"/>
        <w:ind w:left="0"/>
        <w:jc w:val="both"/>
      </w:pPr>
      <w:r>
        <w:rPr>
          <w:rFonts w:ascii="Times New Roman"/>
          <w:b w:val="false"/>
          <w:i w:val="false"/>
          <w:color w:val="000000"/>
          <w:sz w:val="28"/>
        </w:rPr>
        <w:t xml:space="preserve">
      б) указать новые должности следующих членов Консультативного комитета: </w:t>
      </w:r>
    </w:p>
    <w:bookmarkEnd w:id="2"/>
    <w:tbl>
      <w:tblPr>
        <w:tblW w:w="0" w:type="auto"/>
        <w:tblCellSpacing w:w="0" w:type="auto"/>
        <w:tblBorders>
          <w:top w:val="none"/>
          <w:left w:val="none"/>
          <w:bottom w:val="none"/>
          <w:right w:val="none"/>
          <w:insideH w:val="none"/>
          <w:insideV w:val="none"/>
        </w:tblBorders>
      </w:tblPr>
      <w:tblGrid>
        <w:gridCol w:w="1210"/>
        <w:gridCol w:w="1210"/>
        <w:gridCol w:w="9880"/>
      </w:tblGrid>
      <w:tr>
        <w:trPr>
          <w:trHeight w:val="30" w:hRule="atLeast"/>
        </w:trPr>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Адамян Сурен Фрунзевич </w:t>
            </w:r>
          </w:p>
        </w:tc>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советник Управления международного сотрудничества Комитета государственных доходов Республики Армения </w:t>
            </w:r>
          </w:p>
        </w:tc>
      </w:tr>
      <w:tr>
        <w:trPr>
          <w:trHeight w:val="30" w:hRule="atLeast"/>
        </w:trPr>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Алоян Асанет Алексановна </w:t>
            </w:r>
          </w:p>
        </w:tc>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методологии налогов и обязательных платежей Управления методологии администрирования и процедур Комитета государственных доходов Республики Армения </w:t>
            </w:r>
          </w:p>
        </w:tc>
      </w:tr>
      <w:tr>
        <w:trPr>
          <w:trHeight w:val="30" w:hRule="atLeast"/>
        </w:trPr>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Мурадян Грачья Арамович </w:t>
            </w:r>
          </w:p>
        </w:tc>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методологии администрирования и процедур Комитета государственных доходов Республики Армения </w:t>
            </w:r>
          </w:p>
        </w:tc>
      </w:tr>
      <w:tr>
        <w:trPr>
          <w:trHeight w:val="30" w:hRule="atLeast"/>
        </w:trPr>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Джурабеков Рашид Султанович </w:t>
            </w:r>
          </w:p>
        </w:tc>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налоговой политики Департамента налоговой и таможенной политики Министерства национальной экономики Республики Казахстан</w:t>
            </w:r>
          </w:p>
        </w:tc>
      </w:tr>
      <w:tr>
        <w:trPr>
          <w:trHeight w:val="30" w:hRule="atLeast"/>
        </w:trPr>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Джумабеков Нурлан Кадыржанович </w:t>
            </w:r>
          </w:p>
        </w:tc>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косвенных налогов Управления контроля за косвенными налогами Государственной налоговой службы при Правительстве Кыргызской Республики </w:t>
            </w:r>
          </w:p>
        </w:tc>
      </w:tr>
      <w:tr>
        <w:trPr>
          <w:trHeight w:val="30" w:hRule="atLeast"/>
        </w:trPr>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Жамакеев Муратбек Жумакадырович </w:t>
            </w:r>
          </w:p>
        </w:tc>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контроля по специальным налоговым режимам и страховым взносам Государственной налоговой службы при Правительстве Кыргызской Республики </w:t>
            </w:r>
          </w:p>
        </w:tc>
      </w:tr>
      <w:tr>
        <w:trPr>
          <w:trHeight w:val="30" w:hRule="atLeast"/>
        </w:trPr>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Казатова Фатима Бектургановна </w:t>
            </w:r>
          </w:p>
        </w:tc>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взаимодействия с ЕАЭС Управления контроля за косвенными налогами Государственной налоговой службы при Правительстве Кыргызской Республики </w:t>
            </w:r>
          </w:p>
        </w:tc>
      </w:tr>
      <w:tr>
        <w:trPr>
          <w:trHeight w:val="30" w:hRule="atLeast"/>
        </w:trPr>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Осмонов Нургазы Бабакулович </w:t>
            </w:r>
          </w:p>
        </w:tc>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контроля за косвенными налогами Государственной налоговой службы при Правительстве Кыргызской Республики </w:t>
            </w:r>
          </w:p>
        </w:tc>
      </w:tr>
      <w:tr>
        <w:trPr>
          <w:trHeight w:val="30" w:hRule="atLeast"/>
        </w:trPr>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Ысабеков Кубанычбек Абдимуталипович</w:t>
            </w:r>
          </w:p>
        </w:tc>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налоговой политики Министерства экономики Кыргызской Республики </w:t>
            </w:r>
          </w:p>
        </w:tc>
      </w:tr>
      <w:tr>
        <w:trPr>
          <w:trHeight w:val="30" w:hRule="atLeast"/>
        </w:trPr>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Архипкин Александр Васильевич </w:t>
            </w:r>
          </w:p>
        </w:tc>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аналитик отдела методологии контрольной работы управления анализа и методологии департамента проектирования и разработки программного обеспечения акционерного общества "Главный научный инновационный внедренческий центр" </w:t>
            </w:r>
          </w:p>
        </w:tc>
      </w:tr>
      <w:tr>
        <w:trPr>
          <w:trHeight w:val="30" w:hRule="atLeast"/>
        </w:trPr>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Белоцерковская Галина Викторовна</w:t>
            </w:r>
          </w:p>
        </w:tc>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международного сотрудничества и валютного контроля Федеральной налоговой службы</w:t>
            </w:r>
          </w:p>
        </w:tc>
      </w:tr>
      <w:tr>
        <w:trPr>
          <w:trHeight w:val="30" w:hRule="atLeast"/>
        </w:trPr>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Вольвач Дмитрий Валерьевич </w:t>
            </w:r>
          </w:p>
        </w:tc>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Федеральной налоговой службы</w:t>
            </w:r>
          </w:p>
        </w:tc>
      </w:tr>
      <w:tr>
        <w:trPr>
          <w:trHeight w:val="30" w:hRule="atLeast"/>
        </w:trPr>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Новикова Елена Маратовна </w:t>
            </w:r>
          </w:p>
        </w:tc>
        <w:tc>
          <w:tcPr>
            <w:tcW w:w="1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методологии регистрации и учета управления анализа и методологии департамента проектирования и разработки программного обеспечения акционерного общества "Главный научный инновационный внедренческий центр"; </w:t>
            </w:r>
          </w:p>
        </w:tc>
      </w:tr>
    </w:tbl>
    <w:bookmarkStart w:name="z7" w:id="3"/>
    <w:p>
      <w:pPr>
        <w:spacing w:after="0"/>
        <w:ind w:left="0"/>
        <w:jc w:val="both"/>
      </w:pPr>
      <w:r>
        <w:rPr>
          <w:rFonts w:ascii="Times New Roman"/>
          <w:b w:val="false"/>
          <w:i w:val="false"/>
          <w:color w:val="000000"/>
          <w:sz w:val="28"/>
        </w:rPr>
        <w:t xml:space="preserve">
      в) исключить из </w:t>
      </w:r>
      <w:r>
        <w:rPr>
          <w:rFonts w:ascii="Times New Roman"/>
          <w:b w:val="false"/>
          <w:i w:val="false"/>
          <w:color w:val="000000"/>
          <w:sz w:val="28"/>
        </w:rPr>
        <w:t>состава</w:t>
      </w:r>
      <w:r>
        <w:rPr>
          <w:rFonts w:ascii="Times New Roman"/>
          <w:b w:val="false"/>
          <w:i w:val="false"/>
          <w:color w:val="000000"/>
          <w:sz w:val="28"/>
        </w:rPr>
        <w:t xml:space="preserve"> Консультативного комитета Овсепян А.Ф., Даленова Р.Е., Дюсенбаева Д.Б., Такиева М.Т., Абдышева И.К., Айдаралиева К.И., Айдралиеву Р.Ш., Акынбекова А.Э., Алымбекова И.М., Асылкулова И.Э., Бегалиеву Г.С., Ким Т.М., Курманкожоева Д.С., Маматова Н.Д., Мукаматова Т.М., Саккараеву Э.Д., Шаршенбая уулу Н., Шина А.В., Зайцеву С.А., Оверчука А.Л., Силакову С.С., Смирнову Е.В., Спириденкова Н.Ю., Хорошего О.Д. и Шепелеву Ю.В.   </w:t>
      </w:r>
    </w:p>
    <w:bookmarkEnd w:id="3"/>
    <w:bookmarkStart w:name="z8" w:id="4"/>
    <w:p>
      <w:pPr>
        <w:spacing w:after="0"/>
        <w:ind w:left="0"/>
        <w:jc w:val="both"/>
      </w:pPr>
      <w:r>
        <w:rPr>
          <w:rFonts w:ascii="Times New Roman"/>
          <w:b w:val="false"/>
          <w:i w:val="false"/>
          <w:color w:val="000000"/>
          <w:sz w:val="28"/>
        </w:rPr>
        <w:t xml:space="preserve">
      2. Настоящее распоряжение вступает в силу с даты его опубликования на официальном сайте Евразийского экономического союза.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