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59d8" w14:textId="6cf5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совместных научно-исследовательских и опытно-конструкторских работ в сфере агропромышленного комплекса государств – членов Евразийского экономического союза на 2021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декабря 2020 года № 176.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6 пункта 1 и подпункта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совместных научно-исследовательских и опытно-конструкторских работ в сфере агропромышленного комплекса государств – членов Евразийского экономического союза, утвержденного Решением Евразийского межправительственного совета от 26 мая 2017 г. № 1: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научно-исследовательских и опытно-конструкторских работ в сфере агропромышленного комплекса государств – членов Евразийского экономического союза на 2021 – 2025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правительства государств – членов Евразийского экономического союза до 1 апреля 2021 г. проинформировать Евразийскую экономическую комиссию: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намерении принять участие в проведении совместных научно-исследовательских и опытно-конструкторских работ, предусмотренных утвержденным настоящим распоряжением перечнем;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национальных исследованиях (проектах), проводимых и планируемых к проведению в 2021 – 2025 годах в рамках научно-исследовательских и опытно-конструкторских работ, предусмотренных утвержденным настоящим распоряжением перечнем (с указанием сроков их реализации и ответственных исполнителей).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г. № 176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совместных научно-исследовательских и опытно-конструкторских работ в сфере агропромышленного комплекса государств – членов Евразийского экономического союза на 2021 – 2025 годы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Растениеводство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Создание адаптивных сортов зерновых культур различного направления использования с высокой потенциальной продуктивностью и улучшенными показателями пищевой и кормовой ценности.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Создание адаптивных высокопродуктивных сортов узколистного люпина (Lupinus angustifolius L.) и гороха посевного (Pisum sativum L.) продовольственного и кормового назначения с высоким содержанием протеина в зерне и зеленой массе.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Разработка технологий производства семян зернобобовых, масличных и кормовых культур в условиях орошения.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Создание новых высокопродуктивных сортов овощных, бахчевых культур и обеспечение их первичного семеноводства.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Разработка и внедрение биотехнологий для создания новых высокопродуктивных сортов эфиромасличных культур, а также обеспечение их первичного семеноводства для формирования сырьевой базы пищевой и фармацевтической промышленности.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Разработка инновационных технологий возделывания бинарных, поливидовых и уплотненных посевов многолетних и однолетних яровых, озимых традиционных и нетрадиционных культур с целью создания высококачественной кормовой базы.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Разработка ресурсосберегающих адаптивных технологий возделывания сельскохозяйственных культур для развития системы точного земледелия.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Получение готовых штаммов микроорганизмов с целью создания биологических препаратов для экономически значимых фитофагов.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Разработка средств защиты растений на основе изучения энтомоцидного антагонистического потенциала микробных сообществ.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Создание криогенных коллекций и полевых репозиториев экономически важных плодовых, ягодных и орехоплодных растений.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Животноводство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Разработка кормовых добавок для животноводства и рыбоводства.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Совершенствование системы нормированного кормления сельскохозяйственных животных.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Разработка методов отбора и подбора для ускорения селекции молочных пород скота.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Разработка биотехнологических методов воспроизводства сельскохозяйственных животных.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Разработка широкомасштабных мероприятий против бруцеллеза крупного рогатого скота.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Оптимизация молекулярно-генетического метода полимеразной цепной реакции в реальном времени для экспресс-диагностики провируса лейкоза крупного рогатого скота, налаживание выпуска диагностикумов для массового скрининга крупного рогатого скота на вирусоносительство. Разработка рекомендаций по оздоровлению инфицированных стад с учетом генетической устойчивости крупного рогатого скота к лейкозу.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Разработка подходов к предупреждению распространения антибиотикорезистентности микроорганизмов и рациональному применению антибиотиков в животноводстве.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Мелиорация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Разработка системы воспроизводства плодородия почв и повышения продуктивности зерновых севооборотов с использованием искусственно создаваемых субстратов комплексного действия.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Разработка технологий улучшения и рационального использования пастбищ для развития животноводства с учетом их комплексной кормовой и экологической оценки, бонитировки и паспортизации.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Разработка автоматизированной информационной системы, а также методики экологической оценки мелиоративного состояния орошаемых земель на основе цифровых и картографических баз данных с применением геоинформационных технологий и дистанционного зондирования Земли.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Разработка проектов водной стратегии и генеральной схемы комплексного использования водных ресурсов государств – членов Евразийского экономического союза.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Пищевая промышленность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Разработка технологий получения модифицированных крахмалов для нужд государств – членов Евразийского экономического союза.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Разработка технологии производства экструдированных полизлаковых продуктов питания высокой степени готовности.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Экономика агропромышленного комплекса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Разработка стратегических направлений повышения конкурентоспособности государств – членов Евразийского экономического союза в глобальной продовольственной цепочке.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Разработка предложений по повышению конкурентоспособности малых форм хозяйствования в условиях современной технологической трансформации сельскохозяйственного производства.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Разработка предложений по развитию (диверсификации) сектора услуг, связанных с сельским хозяйством, в государствах – членах Евразийского экономического союза.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Определение общих подходов по развитию и использованию цифровых технологий в агропромышленном комплексе государств – членов Евразийского экономического союза.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