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8dfb" w14:textId="d53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в отношении отдельных видов турбовинтовых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июля 2020 года № 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7.1.20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слова "кодами 8802 30 000 7 и 8802 40 001 6" заменить словами "кодом 8802 30 000 7";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абзацами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"Турбовинтовые гражданские пассажирские самолеты, классифицируемые кодом 8802 40 001 6 ТН ВЭД ЕАЭС, с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не более чем на 90 человек, ввозимые: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Республику Казахстан и Кыргызскую Республику – с 1 января 2018 г. по 31 декабря 2022 г. включительно;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Республику Армения, в Республику Беларусь и в Российскую Федерацию – с даты вступления в силу Решения Совета Евразийской экономической комиссии от 10 июля 2020 г. № 97 по 31 декабря 2022 г. включительно;".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Сроки ввоза турбовинтовых гражданских пассажирских самолетов, указанные в абзацах третьем и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7.1.20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союза", по решению Совета Евразийской экономической комиссии продлеваются в случае поступления в Евразийскую экономическую комиссию информации о неготовности к экспортным поставкам турбовинтовых гражданских пассажирских самолетов,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7.1.20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указанного Решения Комиссии Таможенного союза, производимых в Российской Федерации.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