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4b9e" w14:textId="ce94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механизма подписания актов Совета Евразийской экономической комиссии, принятых в ходе заседаний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21 февраля 2020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Коллегии Евразийской экономической комиссии: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(подписан в г. Астане 29 мая 2014 г.) и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 (утвержден Решением Высшего Евразийского экономического совета от 23 декабря 2014 г. № 98), определяющих порядок принятия решений Евразийской экономической комиссии.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– на постоянной основе.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(далее – Комиссия) совместно с заинтересованными правительствами государств – членов Евразийского экономического союза: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проработать вопрос наделения полномочиями и статуса представителя государства-члена Союза в Совете Комиссии в части подписания актов Совета на заседании Совета и, при необходимости, внести изменения в соответствующие национальные нормативные правовые акты;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предложения по совершенствованию механизмов подписания актов Евразийского экономического совета, принятых в ходе заседаний, в части обязательного определения в программе проведения заседания Совета Комиссии процедуры подписания итоговых документов, а также ответственности Комиссии.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– до 1 апреля 2020 года.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Комиссии доложить на очередном заседании Евразийского межправительственного совета о ходе исполнения поручений, указанных в пункте 1 и 2 настоящего распоряжения.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принятия.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