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b4b68" w14:textId="00b4b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рабочей группы по координации проекта "Евразийская сеть промышленной кооперации, субконтрактации и трансфера технологий"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27 мая 2020 года № 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 Внести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рабочей группы по координации проекта "Евразийская сеть промышленной кооперации, субконтрактации и трансфера технологий", утвержденный распоряжением Совета Евразийской экономической комиссии от 18 ноября 2019 г. № 38, следующие изменения: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включить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рабочей группы следующих лиц: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56"/>
        <w:gridCol w:w="1356"/>
        <w:gridCol w:w="9588"/>
      </w:tblGrid>
      <w:tr>
        <w:trPr>
          <w:trHeight w:val="30" w:hRule="atLeast"/>
        </w:trPr>
        <w:tc>
          <w:tcPr>
            <w:tcW w:w="1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Варданян Гегам Левонович</w:t>
            </w:r>
          </w:p>
        </w:tc>
        <w:tc>
          <w:tcPr>
            <w:tcW w:w="1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5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внутренним рынкам, информатизации, информационно-коммуникационным технологиям Евразийской экономической комиссии (руководитель рабочей группы)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Казахстан</w:t>
            </w:r>
          </w:p>
        </w:tc>
      </w:tr>
      <w:tr>
        <w:trPr>
          <w:trHeight w:val="30" w:hRule="atLeast"/>
        </w:trPr>
        <w:tc>
          <w:tcPr>
            <w:tcW w:w="1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Жунусов Райымбек Серикович</w:t>
            </w:r>
          </w:p>
        </w:tc>
        <w:tc>
          <w:tcPr>
            <w:tcW w:w="1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5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департамента экономической интеграции Национальной палаты предпринимателей "Атамекен"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"/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Евразийской экономической комиссии</w:t>
            </w:r>
          </w:p>
        </w:tc>
      </w:tr>
      <w:tr>
        <w:trPr>
          <w:trHeight w:val="30" w:hRule="atLeast"/>
        </w:trPr>
        <w:tc>
          <w:tcPr>
            <w:tcW w:w="1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Алексанян Александр Сергеевич</w:t>
            </w:r>
          </w:p>
        </w:tc>
        <w:tc>
          <w:tcPr>
            <w:tcW w:w="1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5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члена Коллегии (Министра) по внутренним рынкам, информатизации, информационно-коммуникационным технологиям;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 указать новую должность члена рабочей группы: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794"/>
        <w:gridCol w:w="1794"/>
        <w:gridCol w:w="8712"/>
      </w:tblGrid>
      <w:tr>
        <w:trPr>
          <w:trHeight w:val="30" w:hRule="atLeast"/>
        </w:trPr>
        <w:tc>
          <w:tcPr>
            <w:tcW w:w="1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Тимофеев Владимир Анатольевич</w:t>
            </w:r>
          </w:p>
        </w:tc>
        <w:tc>
          <w:tcPr>
            <w:tcW w:w="1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отдела международного сотрудничества и мониторинга исполнения решений в сторонах Департамента технического регулирования и аккредитации;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 исключить из </w:t>
      </w:r>
      <w:r>
        <w:rPr>
          <w:rFonts w:ascii="Times New Roman"/>
          <w:b w:val="false"/>
          <w:i w:val="false"/>
          <w:color w:val="000000"/>
          <w:sz w:val="28"/>
        </w:rPr>
        <w:t>состава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рабочей группы Кыдырову Н.М., Минасян К.А., Петрова А.В. и Ткача П.Н.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распоряжение вступает в силу с даты его опубликования на официальном сайте Евразийского экономического союза.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Совета Евразийской экономической комиссии: </w:t>
      </w:r>
      <w:r>
        <w:br/>
      </w:r>
      <w:r>
        <w:rPr>
          <w:rFonts w:ascii="Times New Roman"/>
          <w:b/>
          <w:i w:val="false"/>
          <w:color w:val="000000"/>
        </w:rPr>
        <w:t>
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Смаилов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Э. Асрандиев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Оверчук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