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5b05" w14:textId="7025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евразийских транспортных коридоров и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декабря 2020 года № 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Договора о Евразийском экономическом союзе от 29 мая 2014 года и во исполнение пункта 14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создания и развития евразийских транспортных коридоров и маршрутов,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важность реализации и развития транзитного потенциала в рамках Евразийского экономического союза (далее – Союз) и повышения уровня транспортной связуемости в каждом из государств – членов Союза,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Союза с даты опубликования настоящей Рекомендации на официальном сайте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Содействовать приоритетному развитию и синхронизации эксплуатационных характеристик транспортных коридоров и маршрутов, включенных в перечень евразийских транспортных коридоров и маршрутов, размещенный на официальном сайте Евразийского экономического союза по адресу: http://eec.eaeunion.org/ru/act/ energetikaiinfr/transport/Documents/transport.pdf и актуализируемый по мере необходимости Евразийской экономической комиссией совместно с государствами – членами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