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d871" w14:textId="994d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14 октября 2021 года № 14</w:t>
      </w:r>
    </w:p>
    <w:p>
      <w:pPr>
        <w:spacing w:after="0"/>
        <w:ind w:left="0"/>
        <w:jc w:val="both"/>
      </w:pPr>
      <w:bookmarkStart w:name="z4" w:id="0"/>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7-ого издания Гармонизированной системы описания и кодирования товаров Всемирной таможенной организации и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Высшего Евразийского экономического совета от 8 мая 2015 г. № 16, следующие изменения:</w:t>
      </w:r>
    </w:p>
    <w:bookmarkEnd w:id="1"/>
    <w:bookmarkStart w:name="z6" w:id="2"/>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Настоящее Решение вступает в силу с 1 января 2022 г.</w:t>
      </w:r>
    </w:p>
    <w:bookmarkEnd w:id="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Члены Высшего Евразийского экономического совета: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Республики </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Республики </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Решению Высшего Евразийского </w:t>
            </w:r>
            <w:r>
              <w:br/>
            </w:r>
            <w:r>
              <w:rPr>
                <w:rFonts w:ascii="Times New Roman"/>
                <w:b w:val="false"/>
                <w:i w:val="false"/>
                <w:color w:val="000000"/>
                <w:sz w:val="20"/>
              </w:rPr>
              <w:t xml:space="preserve">экономического совета </w:t>
            </w:r>
            <w:r>
              <w:br/>
            </w:r>
            <w:r>
              <w:rPr>
                <w:rFonts w:ascii="Times New Roman"/>
                <w:b w:val="false"/>
                <w:i w:val="false"/>
                <w:color w:val="000000"/>
                <w:sz w:val="20"/>
              </w:rPr>
              <w:t xml:space="preserve">от 14 октября 2021 г. № 14    </w:t>
            </w:r>
          </w:p>
        </w:tc>
      </w:tr>
    </w:tbl>
    <w:bookmarkStart w:name="z11" w:id="6"/>
    <w:p>
      <w:pPr>
        <w:spacing w:after="0"/>
        <w:ind w:left="0"/>
        <w:jc w:val="left"/>
      </w:pPr>
      <w:r>
        <w:rPr>
          <w:rFonts w:ascii="Times New Roman"/>
          <w:b/>
          <w:i w:val="false"/>
          <w:color w:val="000000"/>
        </w:rPr>
        <w:t xml:space="preserve"> ПОЗИЦИИ,     </w:t>
      </w:r>
      <w:r>
        <w:br/>
      </w:r>
      <w:r>
        <w:rPr>
          <w:rFonts w:ascii="Times New Roman"/>
          <w:b/>
          <w:i w:val="false"/>
          <w:color w:val="000000"/>
        </w:rPr>
        <w:t xml:space="preserve">исключаемые из перечня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камбалообразных семейств Pleuronectidae, Bothidae, Cynoglossidae, Soleidae, Scophthalmidae и Citharidae, тунца вида Euthynnus (Katsuwonus) pelamis, сардины вида Sardina pilchardus, сардины рода Sardinops, сардинеллы видов Sardinella spp., 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ставриды обыкновенной (Trachurus trachurus, Caranx trachurus); рыбы рода Euthynnus, кроме скипджека, или тунца полосатого (Euthynnus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угря (Anguilla spp.); камбалообразных (Pleuronectidae, Bothidae, Cynoglossidae, Soleidae, Scophthalmidae и Citharidae, кроме видов Reinhardtius hippoglossoides, Hippoglossus hippoglossus, Hippoglossus stenolepis, Solea spp., Pelotreis flavilatus, Peltorhamphus novaezealandiae); скипджека, или тунца полосатого (Euthynnus (Katsuwonus) pelamis); тунцов (рода Thunnus, кроме видов Thunnus alalunga, Thunnus albacares); минтая (Theragra chalcogramma); путассу южной (Micromesistius australis)\ рыбы вида Boreogadus saida; сайды серебристой (Pollachiuspollachius)\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--тунца (рода Thunnus), скипджека, или тунца полосатого (Euthynnus (Katsnwonus)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рода Euthynnus, кроме скипджека, или тунца полосатого (Euthynnus (Katsuwonus) pelamis) субпозиции 0304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растительные масла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колбасы, сухие или пастообразные, сырые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радиоактивные изотопы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искусственных радиоактивных изотопов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 (метилбромид)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и 1,1,1 -трифторэтан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-----пентафторпропаны, гексафторпропаны и гептафторпропаны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-----перфторированные насыщенные фториды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 фториды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-----1,3,3,3-тетрафтор пропен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-----ненасыщенные фториды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-----бутан-1 -ол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--- 3-(тригидроксисилил) пропилметилфосфонат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----2,4,6-трипропил-1,3,5,2,4,6-триоксатрифосфинан 2,4,6- 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бис[(5-этил-2-метил-2-оксид-1,3,2-диоксафосфинан-5- ил)метил]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(дифторангидрид метилфосфоновой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-----метилфосфоноилдихлорид (дихлорангидрид метилфосфоновой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-----этидроновая кислота (INN) (1-гидроксиэтан-1,1-дифосфоновая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-----(нитрилотриметандиил)трис(фосфоновая кислота), {этан-1,2-диилбис[нитрилобис (метилен)] }тетракис(фосфоновая кислота), [(бис {2- [бис(фосфонометил)амино]этил}амино) метил]фосфоновая кислота, {гексан-1,6- диилбис [нитрилобис(метил ен)]} тетракис (фосфоновая кислота), {[(2-гидроксиэтил) имино]бис(метилен)}бис(фосфоновая кислота) и [(бис{6-[бис(фосфонометил)амино]гексил} амино)метил] фосфоновая кислота;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(РСР), феноперидин (INN), пипрадрол (INN), пиритрамид (INN), пропирам (INN) и тримеперидин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Вз или витамин В5), ее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выделенные из коры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левометамфетамин, метамфетамин (INN), рацемат метамфетамина;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для диагностики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краснухи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средства и чистящие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содержащие алдикарб (ISO) или простые эфиры пента- и октабромдифенила, или перфтороктансульфоновую кислоту и ее соли, или перфтороктансульфонамиды, или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содержащие алахлор (ISO) или азинофос метил (ISO), или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 содержащие алдикарб (ISO) или азинфос 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 содержащие алахлор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1-хлор-2,3-эпоксипропана и оксида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площадью 0,3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площадью 0,3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пластин максимальной площадью 1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площадью 0,3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пластин максимальной площадью 0,3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4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содержащие не менее 50 мас.% шерсти, и массой 600 г или более на одно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содержащие не менее 50 мас.% шерсти, и массой 600 г или более на одно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содержащие не менее 50 мас.%) шерсти, и массой 600 г или более на одно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содержащие не менее 50 мас.%) шерсти, и массой 600 г или более на одно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содержащие не менее 50 мас.%) шерсти, и массой 600 г или более на одно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пропитанные или с покрытием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6201 11 -6201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6202 11 - 6202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более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шириной более 30 см, полотняного переплетения, с поверхностной плотностью менее 250 г/м </w:t>
            </w:r>
            <w:r>
              <w:rPr>
                <w:rFonts w:ascii="Times New Roman"/>
                <w:b w:val="false"/>
                <w:i w:val="false"/>
                <w:color w:val="000000"/>
                <w:vertAlign w:val="superscript"/>
              </w:rPr>
              <w:t>2</w:t>
            </w:r>
            <w:r>
              <w:rPr>
                <w:rFonts w:ascii="Times New Roman"/>
                <w:b w:val="false"/>
                <w:i w:val="false"/>
                <w:color w:val="000000"/>
                <w:sz w:val="20"/>
              </w:rPr>
              <w:t>, из нитей линейной плотности не более 136 текс на одиночную нить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И 490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вертикальные с усилием гибки не менее 15 000 кН, но не более 22 000 кН, точностью позиционирования траверсы по оси Y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ракетно-космической промышленности </w:t>
            </w:r>
            <w:r>
              <w:rPr>
                <w:rFonts w:ascii="Times New Roman"/>
                <w:b w:val="false"/>
                <w:i w:val="false"/>
                <w:color w:val="000000"/>
                <w:vertAlign w:val="superscript"/>
              </w:rPr>
              <w:t>13</w:t>
            </w:r>
            <w:r>
              <w:rPr>
                <w:rFonts w:ascii="Times New Roman"/>
                <w:b w:val="false"/>
                <w:i w:val="false"/>
                <w:color w:val="000000"/>
                <w:vertAlign w:val="superscript"/>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продольного раскроя плоского проката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 оборудование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или пакетировочные прессы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или пакетировочные прессы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или пакетировочные прессы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или пакетировочные прессы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-----плазменные модули (экраны) для аппаратуры товарной позиции 8528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-----жидкокристаллические модули (экраны) для аппаратуры товарной позиции 8528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напряжение более 1000 В, но не более 72,5 кВ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полной массой транспортного средства не более 5 т,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разведывательно-ударные беспилотные летательные аппараты </w:t>
            </w:r>
            <w:r>
              <w:rPr>
                <w:rFonts w:ascii="Times New Roman"/>
                <w:b w:val="false"/>
                <w:i w:val="false"/>
                <w:color w:val="000000"/>
                <w:vertAlign w:val="superscript"/>
              </w:rPr>
              <w:t>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матричные устройства на жидких кристаллах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обитая, со спинкой, снабженная роликами или полозьями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гигиенические женские прокладки, тампоны и аналогичные изделия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Высшего Евразийского экономического совета  </w:t>
            </w:r>
            <w:r>
              <w:br/>
            </w:r>
            <w:r>
              <w:rPr>
                <w:rFonts w:ascii="Times New Roman"/>
                <w:b w:val="false"/>
                <w:i w:val="false"/>
                <w:color w:val="000000"/>
                <w:sz w:val="20"/>
              </w:rPr>
              <w:t xml:space="preserve">от 14 октября 2021 г. № 14   </w:t>
            </w:r>
          </w:p>
        </w:tc>
      </w:tr>
    </w:tbl>
    <w:bookmarkStart w:name="z13" w:id="7"/>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-----аппаратура видеозаписывающая или</w:t>
            </w:r>
          </w:p>
          <w:bookmarkEnd w:id="8"/>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-----аппаратура видеозаписывающая или</w:t>
            </w:r>
          </w:p>
          <w:bookmarkEnd w:id="9"/>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-----для модулей подсубпозиций 8524 11 001 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-----для модулей подсубпозиций 8524 11 001 3,</w:t>
            </w:r>
          </w:p>
          <w:bookmarkEnd w:id="11"/>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-----для модулей подсубпозиций 8524 11 001 4,</w:t>
            </w:r>
          </w:p>
          <w:bookmarkEnd w:id="12"/>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-----для модулей подсубпозиций 8524 11 001 9,</w:t>
            </w:r>
          </w:p>
          <w:bookmarkEnd w:id="13"/>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-----для модулей подсубпозиций 8524 11 002 1,</w:t>
            </w:r>
          </w:p>
          <w:bookmarkEnd w:id="14"/>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-----для модулей подсубпозиций 8524 11 002 6,</w:t>
            </w:r>
          </w:p>
          <w:bookmarkEnd w:id="15"/>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-----для модулей подсубпозиций 8524 11 002 7,</w:t>
            </w:r>
          </w:p>
          <w:bookmarkEnd w:id="16"/>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-----для модулей подсубпозиций 8524 11 002 9,</w:t>
            </w:r>
          </w:p>
          <w:bookmarkEnd w:id="17"/>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-----для модулей подсубпозиций 8524 11 003 1,</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-----для модулей подсубпозиций 8524 11 003 9,</w:t>
            </w:r>
          </w:p>
          <w:bookmarkEnd w:id="19"/>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-----для модулей подсубпозиций 8524 11 005 1,</w:t>
            </w:r>
          </w:p>
          <w:bookmarkEnd w:id="20"/>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-----для модулей подсубпозиций 8524 11 005 2,</w:t>
            </w:r>
          </w:p>
          <w:bookmarkEnd w:id="21"/>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-----для модулей подсубпозиций 8524 11 005 3,</w:t>
            </w:r>
          </w:p>
          <w:bookmarkEnd w:id="22"/>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