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1204" w14:textId="3791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ламп светоизлучающих диодных (LED)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апреля 2021 года № 47.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исключить из единой Товарной номенклатуры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примечание 65С к Единому таможенному тарифу Евразийского экономического союза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65С)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5 % от таможенной стоимости применяется с даты вступления в силу Решения Коллегии Евразийской экономической комиссии от 20 апреля 2021 г. № 47 по 31.12.2025 включительно.".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 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ламп светоизлучающих диодных (LED).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г. № 47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8539 50000 2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двухцокольные, в виде прямых трубок диаметром не менее 25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8539 50 000 9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г. № 47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8539 50 000 2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двухцокольные, в виде прямых трубок  диаметром не менее 25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8539 50 000 3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одноцокольные с винтовым цоколем,  с рассеивателем из пластмассы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8539 50 000 8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Бескодовая подсубпозиция после подсубпозиции 8539 50 000 1 ТН ВЭД ЕАЭС.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г. № 47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8539 50 000 1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 светодиодными нитями, представляющими собой не менее 24 последовательно соединенных светодиодов на подложке, с покрытием композитом, содержащим люминофор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8539 50 000 2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двухцокольные, в виде прямых трубок диаметром не менее 25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8539 50 000 3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одноцокольные с винтовым цоколем, с рассеивателем из пластмассы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8539 50 000 8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