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7c16" w14:textId="7017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товаров, в отношении которых применяются преференциальные ставки ввозных таможенных пошлин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и размеров таких ставок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21 сентября 2021 года № 122. Утратило силу решением Коллегии Евразийской экономической комиссии от 14 января 2025 года № 1</w:t>
      </w:r>
    </w:p>
    <w:p>
      <w:pPr>
        <w:spacing w:after="0"/>
        <w:ind w:left="0"/>
        <w:jc w:val="both"/>
      </w:pPr>
      <w:r>
        <w:rPr>
          <w:rFonts w:ascii="Times New Roman"/>
          <w:b w:val="false"/>
          <w:i w:val="false"/>
          <w:color w:val="ff0000"/>
          <w:sz w:val="28"/>
        </w:rPr>
        <w:t xml:space="preserve">
      Сноска. Решение утратило силу решением Коллегии Евразийской экономической комиссии от 14.01.2025 </w:t>
      </w:r>
      <w:r>
        <w:rPr>
          <w:rFonts w:ascii="Times New Roman"/>
          <w:b w:val="false"/>
          <w:i w:val="false"/>
          <w:color w:val="ff0000"/>
          <w:sz w:val="28"/>
        </w:rPr>
        <w:t>№ 1</w:t>
      </w:r>
      <w:r>
        <w:rPr>
          <w:rFonts w:ascii="Times New Roman"/>
          <w:b w:val="false"/>
          <w:i w:val="false"/>
          <w:color w:val="ff0000"/>
          <w:sz w:val="28"/>
        </w:rPr>
        <w:t xml:space="preserve"> (вступает в силу с даты вступления в силу Соглашения, но не ранее чем по истечении 30 календарных дней с даты официального опубликования настоящего Решения).</w:t>
      </w:r>
    </w:p>
    <w:bookmarkStart w:name="z4" w:id="0"/>
    <w:p>
      <w:pPr>
        <w:spacing w:after="0"/>
        <w:ind w:left="0"/>
        <w:jc w:val="both"/>
      </w:pPr>
      <w:r>
        <w:rPr>
          <w:rFonts w:ascii="Times New Roman"/>
          <w:b w:val="false"/>
          <w:i w:val="false"/>
          <w:color w:val="000000"/>
          <w:sz w:val="28"/>
        </w:rPr>
        <w:t xml:space="preserve">
      В связи с принятием новой редакции единой Товарной номенклатуры внешнеэкономической деятельности Евразийского экономического союза на основе 7-го издания Гармонизированной системы описания и кодирования товаров Всемирной таможенной организации, в соответствии со </w:t>
      </w:r>
      <w:r>
        <w:rPr>
          <w:rFonts w:ascii="Times New Roman"/>
          <w:b w:val="false"/>
          <w:i w:val="false"/>
          <w:color w:val="000000"/>
          <w:sz w:val="28"/>
        </w:rPr>
        <w:t xml:space="preserve">статьей 2.4 </w:t>
      </w:r>
      <w:r>
        <w:rPr>
          <w:rFonts w:ascii="Times New Roman"/>
          <w:b w:val="false"/>
          <w:i w:val="false"/>
          <w:color w:val="000000"/>
          <w:sz w:val="28"/>
        </w:rPr>
        <w:t xml:space="preserve">Временного соглашения, ведущего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применяются преференциальные ставки ввозных таможенных пошлин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и размеров таких ставок, утвержденный Решением Коллегии Евразийской экономической комиссии от 22 января 2019 г. № 10, следующие изменения:</w:t>
      </w:r>
    </w:p>
    <w:bookmarkEnd w:id="1"/>
    <w:bookmarkStart w:name="z6" w:id="2"/>
    <w:p>
      <w:pPr>
        <w:spacing w:after="0"/>
        <w:ind w:left="0"/>
        <w:jc w:val="both"/>
      </w:pPr>
      <w:r>
        <w:rPr>
          <w:rFonts w:ascii="Times New Roman"/>
          <w:b w:val="false"/>
          <w:i w:val="false"/>
          <w:color w:val="000000"/>
          <w:sz w:val="28"/>
        </w:rPr>
        <w:t xml:space="preserve">
      а) исключить позиции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б) включить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в) дополнить сноской со знаком "*" следующего содержания:</w:t>
      </w:r>
    </w:p>
    <w:bookmarkEnd w:id="4"/>
    <w:bookmarkStart w:name="z9" w:id="5"/>
    <w:p>
      <w:pPr>
        <w:spacing w:after="0"/>
        <w:ind w:left="0"/>
        <w:jc w:val="both"/>
      </w:pPr>
      <w:r>
        <w:rPr>
          <w:rFonts w:ascii="Times New Roman"/>
          <w:b w:val="false"/>
          <w:i w:val="false"/>
          <w:color w:val="000000"/>
          <w:sz w:val="28"/>
        </w:rPr>
        <w:t>
      "* Необходимо руководствоваться как кодом ТН ВЭД ЕАЭС, так и наименованием товара.".</w:t>
      </w:r>
    </w:p>
    <w:bookmarkEnd w:id="5"/>
    <w:bookmarkStart w:name="z10" w:id="6"/>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но не ранее 1 января 2022 г.</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21 сентября 2021 г. № 122</w:t>
            </w:r>
          </w:p>
        </w:tc>
      </w:tr>
    </w:tbl>
    <w:bookmarkStart w:name="z13" w:id="7"/>
    <w:p>
      <w:pPr>
        <w:spacing w:after="0"/>
        <w:ind w:left="0"/>
        <w:jc w:val="left"/>
      </w:pPr>
      <w:r>
        <w:rPr>
          <w:rFonts w:ascii="Times New Roman"/>
          <w:b/>
          <w:i w:val="false"/>
          <w:color w:val="000000"/>
        </w:rPr>
        <w:t xml:space="preserve"> ПОЗИЦИИ,</w:t>
      </w:r>
      <w:r>
        <w:br/>
      </w:r>
      <w:r>
        <w:rPr>
          <w:rFonts w:ascii="Times New Roman"/>
          <w:b/>
          <w:i w:val="false"/>
          <w:color w:val="000000"/>
        </w:rPr>
        <w:t>исключаемые из перечня товаров, в отношении которых применяются преференциальные ставки ввозных таможенных пошлин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и размеров таких ставок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прочий, кроме сельдерея корневого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водный раствор с содержанием алкил[оксиди(бензолсульфоната)] динатрия 30 мас.% или более, но не более 50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поверхностно-активные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моющие средства и чистящие </w:t>
            </w:r>
          </w:p>
          <w:p>
            <w:pPr>
              <w:spacing w:after="20"/>
              <w:ind w:left="20"/>
              <w:jc w:val="both"/>
            </w:pPr>
            <w:r>
              <w:rPr>
                <w:rFonts w:ascii="Times New Roman"/>
                <w:b w:val="false"/>
                <w:i w:val="false"/>
                <w:color w:val="000000"/>
                <w:sz w:val="20"/>
              </w:rPr>
              <w:t>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1 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максимальной площадью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сварные прямошовные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21 сентября 2021 г. № 122</w:t>
            </w:r>
          </w:p>
        </w:tc>
      </w:tr>
    </w:tbl>
    <w:bookmarkStart w:name="z15" w:id="8"/>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перечень товаров, в отношении которых применяются преференциальные ставки ввозных таможенных пошлин в соответствии с Временным соглашением, ведущим к образованию зоны свободной торговли между Евразийским экономическим союзом и его государствами-членами, с одной стороны, и Исламской Республикой Иран, с другой стороны, от 17 мая 2018 года, и размеров таких ставок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сельдерей, кроме сельдерея корневого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линейные алкилбензолсульфокислоты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расфасованные для розничной 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поли(1,3-фениленметилфосфонат)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виде пластин максимальной площадью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пластин максимальной площадью 0,3 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полипропилена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пластин максимальной площадью 0,3 м²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напечатанные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прямошовные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bookmarkEnd w:id="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11 003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12 003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19 003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91 003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bookmarkEnd w:id="1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92 003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8524 99 003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предназначенные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1, 8524 12 003 1, 8524 19 003 1, 8524 91 003 1, 8524 92 003 1, 8524 99 003 1, предназначенных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8529 90 103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модулей подсубпозиций 8524 11 003 9, 8524 12 003 9, 8524 19 003 9, 8524 91 003 9, 8524 92 003 9, 8524 99 003 9, предназначенных для товаров товарных позиций 8701 –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 8701 – 8705; для промышленной сборки узлов и агрегатов моторных транспортных средств товарных позиций 8701 – 8705</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