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4ab1" w14:textId="7de4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апреля 2021 г. № 47.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г. № 127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 г. № 42 "О классификации светодиодной лампы в соответствии с единой Товарной номенклатурой внешнеэкономической деятельности Евразийского экономического союза":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"двухштырьковым или" исключить;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"8539 50 000 9" заменить цифрами "8539 50 000 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Светодиодная лампа, состоящая из размещенных в едином корпусе нескольких светодиодов и печатной платы, предназначенной для выпрямления переменного тока и преобразования напряжения до уровня, пригодного для использования светодиодами, оснащенная теплоотводом и двухштырьковым цоколем, в соответствии с Основными правилами интерпретации Товарной номенклатуры внешнеэкономической деятельности 1 и 6 классифицируется в подсубпозиции 8539 50 000 8 единой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(примеры изображений светодиодной лампы приведены в приложении).".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сентября 2019 г. № 167 "О классификации светодиодной лампы с аккумулятором и пультом управления в соответствии с единой Товарной номенклатурой внешнеэкономической деятельности Евразийского экономического союза" цифры "8539 50 000 9" заменить цифрами "8539 50 000 3".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