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9b57" w14:textId="ad69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21 сентября 2021 г.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декабря 2021 года № 173.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19 ноября 2021 г. № 11 "Об изменении Решения Коллегии Евразийской экономической комиссии от 21 сентября 2021 г. № 129" и на основании пункта 3 статьи 16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сентября 2021 г. № 129 "О применении антидемпинговой меры посредством введения антидемпинговой пошлины в отношении графитированных электродов, происходящих из Китайской Народной Республики и ввозимых на таможенную территорию Евразийского экономического союза"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г. № 173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21 сентября 2021 г. № 129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Преамбулу после слов "2014 года)" дополнить словами "(далее – Протокол)".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втором: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"Республику Казахстан" заменить словами "государства – члены Евразийского экономического союза";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"(далее – рекомендованные подходы)" дополнить словами "и о его результатах информировать Коллегию Евразийской экономической комиссии по итогам каждого полугодия";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абзац третий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несоблюдения акционерным обществом "ЭПМ – Новосибирский электродный завод", акционерным обществом "ЭПМ – Новочеркасский электродный завод", обществом с ограниченной ответственностью "Донкарб Графит" рекомендованных подходов, в том числе с учетом информации, поступившей от потребителя государства – члена Евразийского экономического союза, уполномоченного государственного органа государства – члена Евразийского экономического союза, а также с учетом предусмотренного пунктом 4 настоящего Решения мониторинга, провести повторное расследование (пересмотр) антидемпинговой меры, установленной настоящим Решением,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предусмотрев неприменение указанной антидемпинговой меры до завершения повторного расследования (пересмотра)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января" заменить словами "1 апреля".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наименовании слова "Республику Казахстан" заменить словами "государства – члены Евразийского экономического союза";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периодом действия в течение 2021 – 2025 годов" исключить;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Соблюдение принципов прозрачного, конкурентного и обоснованного ценообразования в отношении графитированных электродов диаметром не более 520 мм при осуществлении поставок напрямую казахстанским потребителям, в том числе путем применения механизмов формульного ценообразования, предусматривающих зависимость цены на графитированные электроды от динамики изменения ценовых котировок на основное сырье (нефтяной кокс) и (или) графитированные электроды.";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Республику Казахстан" и "казахстанским" исключить;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Приоритизация поставок графитированных электродов диаметром не более 520 мм по долгосрочным договорам с потребителями перед любыми другими поставками.".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