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e1a7" w14:textId="49fe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27 ноября 2009 г. №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5 марта 2021 года № 17.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условиях и порядке применения единой системы тарифных преференций Евразийского экономического союза, утвержденного Решением Совета Евразийской экономической комиссии от 6 апреля 2016 г. № 47,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ноября 2009 г. № 130 "О едином таможенно-тарифном регулировании Евразийского экономического союза"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</w:t>
      </w:r>
      <w:r>
        <w:rPr>
          <w:rFonts w:ascii="Times New Roman"/>
          <w:b w:val="false"/>
          <w:i w:val="false"/>
          <w:color w:val="000000"/>
          <w:sz w:val="28"/>
        </w:rPr>
        <w:t>перечне развивающихся стран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пользователей единой системы тарифных преференций Евразийского экономического союза (приложение № 2 к указанному Решению):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1, 3 – 11, 13 – 17, 19 – 21, 23, 25 – 28, 31 – 34, 37, 39, 41, 42, 45, 46, 49 – 56, 59, 62 – 64, 67 – 69, 71, 73 – 89, 91 – 93, 95 – 97, 99, 102 и 103 исключить;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Республика Вануату";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пункты 8 и 47 перечня наименее развитых стран – пользователей единой системы тарифных преференций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Решению) исключить.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6 месяцев с даты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Кармышаков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