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3a53" w14:textId="80e3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маркировки алкогольной продукции средствами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базовой технологической организационной модели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5 марта 2021 г. № 19 (далее – базовая модель),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нецелесообразным введение маркировки средствами идентификации в рамках Евразийского экономического союза алкогольной продукции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особенностями производства и оборота данной продукции.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 Установить, что государства – члены Евразийского экономического союза вводят маркировку средствами идентификации алкогольной продукции, включенной в перечень, предусмотренный настоящим Решением, в соответствии со своим законодательством без учета положений базовой модели.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г. № 43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алкогольной продукции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 (кроме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2204 30)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2208 20 120 0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2208 20 620 0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2208 20 140 0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2208 20 640 0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Арманьяк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2208 20 260 0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2208 20 860 0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Граппа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2208 20 270 0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2208 20 870 0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Хересный бренди (Brandy de Jerez)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2208 20 290 0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2208 20 890 0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спиртовые настойки, полученные в результате дистилляции виноградного вина или выжимок винограда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и прочие спиртовые настойки, полученные в результате дистилляции сброженных продуктов из сахарного тростника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и можжевеловая настойка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спиртные напитки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