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e409" w14:textId="e69e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сельскохозяйственных растений, в отношении которых в государствах – членах Евразийского экономического союза имеется критическая зависимость от импорта семян и (или) посадочного материала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октября 2021 года № 95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7.2.2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 12, и плана мероприятий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 4,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Определить, что в государствах – членах Евразийского экономического союза имеется критическая зависимость от импорта семян и (или) посадочного материала в отношении сельскохозяйственных растений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Жапаров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2021 г. № 95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сельскохозяйственных растений, в отношении которых в государствах – членах Евразийского экономического союза имеется критическая зависимость от импорта семян и (или) посадочного материала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Сахарная свекла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Масличные культуры: подсолнечник, рапс, сафлор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Зерновые культуры: кукуруза, озимая рожь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Овощные и бахчевые культуры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Многолетние травы: люцерна, эспарцет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Плодовые и ягодные культуры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