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6616" w14:textId="535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октября 2021 года № 100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Принять прилагаемый 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 ЕАЭС 050/2021).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 ЕАЭС 050/2021) вступает в силу с 1 июня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г. № 100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Область применения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технический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устанавливает обязательные для применения и исполнения на таможенной территории Евразийского экономического союза (далее – Союз) требования к продукции, предназначенной для гражданской обороны и защиты от чрезвычайных ситуаций природного и техногенного характера, выпускаемой в обращение на таможенной территории Союза (далее – продукция).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продукции приняты иные технические регламенты Союза, то продукция должна соответствовать требованиям всех технических регламентов Союза, действие которых на нее распространяется.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настоящего технического регламента распространяется на объекты технического регулирования по перечню согласно приложению.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настоящего технического регламента не распространяется: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 продукцию, разработанную и модифицированную для распознавания, обнаружения бактериологических (биологических) объектов и радиоактивных материалов, которые могут быть использованы в военных целях, или для защиты от таких объектов и материалов;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 продукцию, разработанную и модифицированную для распознавания, обнаружения токсичных химикатов, используемых в химическом оружии, и химических средств для борьбы с массовыми беспорядками или для защиты от таких химикатов и средств, а также на специально разработанные для этой продукции компоненты;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 продукцию, являющуюся объектом технического регламента Таможенного союза "О безопасности средств индивидуальной защиты" (ТР ТС 019/2011).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целей применения настоящего технического регламента используются понятия,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типовыми схемами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утвержденными Решением Совета Евразийской экономической комиссии от 18 апреля 2018 г. № 44 (далее – типовые схемы), а также понятия, которые означают следующее: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работы" – действия по поиску и спасению людей, материальных и культурных ценностей, защите окружающей среды в зоне чрезвычайной ситуации и от опасностей, возникающих при военных конфликтах или вследствие этих конфликтов, локализации и подавлению или доведению до минимально возможного уровня воздействия характерных для них опасных факторов;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средства" – технические средства, предназначенные для проведения аварийно-спасательных работ;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"аварийно химически опасное вещество" – опасное химическое вещество, которое применяется в промышленности и сельском хозяйстве и при аварийном выбросе (разливе) которого может произойти заражение окружающей среды в поражающих живой организм токсических дозах;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"автоматизированное рабочее место оперативного дежурного" – программно-технический комплекс средств управления и связи, приема, обработки, передачи и отображения информации (обстановки) для приема и передачи команд управления, автоматизации процесса управления силами и средствами гражданской обороны и защиты от чрезвычайных ситуаций;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"автоматизированное рабочее место оповещения населения" – программно-технический комплекс для приема сигналов и информации оповещения от пункта управления гражданской обороной, единой дежурно-диспетчерской службы, обработки, отображения, формирования и передачи команд управления аппаратурой запуска и мониторинга оконечных средств оповещения по всем имеющимся техническим системам связи, оповещения и массовой информации;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"биологическое (бактериологическое) заражение" – проникновение в живой организм возбудителя инфекционной болезни или продуктов его жизнедеятельности, приводящее к развитию у пораженного организма инфекционного процесса;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"вспомогательное оборудование для технических средств управления и связи" – оборудование, предназначенное для подключения, формирования, преобразования, обработки сигналов и сообщений, передаваемых или принимаемых по сетям связи, а также для электропитания технических средств управления и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"гражданская оборона" – система мероприятий по подготовке к защите и по защите населения, материальных и культурных ценностей на территории государства – члена Союза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дежурно-диспетчерская служба" – орган управления государственной системы предупреждения и ликвидации чрезвычайных ситуаций государства – члена Союза, предназначенный для координации действий дежурных и диспетчерских (дежурно-диспетчерских) служб, сил и средств гражданской обороны, предупреждения и ликвидации чрезвычайных ситуаций на территории административно-территориальной единицы;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"защитное сооружение гражданской обороны" – инженерное сооружение, предназначенное для укрытия людей, техники и имущества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"зона химического заражения" – территория, в пределах которой существует опасность для здоровья незащищенных людей в случае их длительного пребывания на данной территории и в данных условиях. Зона химического заражения ограничивается нормативно установленными предельно допустимыми концентрациями воздействия опасных химических веществ в чрезвычайных ситуациях или при военных конфликтах;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– территория, на которой возникла чрезвычайная ситуация;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–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ущерба, причиненного окружающей среде,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"обычные средства поражения" – виды оружия, не относящиеся к оружию массового поражения, оснащенные боеприпасами или горючими веществами;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"оконечное средство оповещения" – техническое устройство, осуществляющее доведение сигналов и информации оповещения до населения;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"оконечный абонентский терминал" – техническое устройство, предназначенное для обеспечения должностного лица органа (пункта) управления необходимой услугой связи;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"опасное химическое вещество" – химическое вещество, прямое или опосредованное воздействие которого на человека может вызвать острые и хронические заболевания или гибель;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 управления" – орган государственной системы предупреждения и ликвидации чрезвычайных ситуаций государства – члена Союза, предназначенный для выполнения задач по управлению гражданской обороной и мероприятиями по защите от чрезвычайных ситуаций природного и техногенного характера;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"оружие массового поражения" – ядерное, химическое, бактериологическое (биологическое) и токсинное оружие;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"отравляющее вещество" – ядовитое химическое вещество, обладающее определенными токсическими и физико-химическими свойствами и вызывающее поражение людей, заражение воздуха, местности, вооружения и другой техники;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"поражающий фактор" – составляющая опасного явления или процесса, вызванная источником чрезвычайной ситуации и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чрезвычайных ситуаций" –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ущерба, причиненного окружающей среде, и материальных потерь в случае их возникновения;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"противорадиационное укрытие" – защитное сооружение гражданской обороны, предназначенное для защиты людей, укрываемых от воздействия ионизирующих излучений при радиоактивном загрязнении местности, и допускающее непрерывное пребывание в нем в течение нормативного времени;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"пункты управления" – специально оборудованные сооружения (помещения) или транспортные средства, оснащенные необходимыми техническими средствами связи и жизнеобеспечения и предназначенные для размещения и обеспечения эффективной работы органов управления как при возникновении чрезвычайных ситуаций и военных конфликтов, так и при их отсутствии;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"радиоактивное загрязнение" – присутствие радиоактивных веществ на поверхности, внутри материала, в воздухе, в теле человека или в другом месте в количестве, превышающем уровни, установленные законодательством государства – члена Союза;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"режим полной или частичной изоляции с регенерацией внутреннего воздуха", "режим III" – снабжение защитного сооружения гражданской обороны воздухом, состоящим из отработанного воздуха, восстановленного до исходных состава и свойств для повторного его применения с помощью определенных физико-химических процессов, и (или) сжатого воздуха (кислорода) из баллонов, а также из ограниченного объема наружного воздуха, очищенного </w:t>
      </w:r>
      <w:r>
        <w:rPr>
          <w:rFonts w:ascii="Times New Roman"/>
          <w:b/>
          <w:i w:val="false"/>
          <w:color w:val="000000"/>
          <w:sz w:val="28"/>
        </w:rPr>
        <w:t>с помощью фильтровентиляционных систем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"режим фильтровентиляции", "режим II" – снабжение защитного сооружения </w:t>
      </w:r>
      <w:r>
        <w:rPr>
          <w:rFonts w:ascii="Times New Roman"/>
          <w:b w:val="false"/>
          <w:i w:val="false"/>
          <w:color w:val="000000"/>
          <w:sz w:val="28"/>
        </w:rPr>
        <w:t>гражданской обороны</w:t>
      </w:r>
      <w:r>
        <w:rPr>
          <w:rFonts w:ascii="Times New Roman"/>
          <w:b/>
          <w:i w:val="false"/>
          <w:color w:val="000000"/>
          <w:sz w:val="28"/>
        </w:rPr>
        <w:t xml:space="preserve"> наружным воздухом, очищенным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 помощью фильтровентиляционных систем от газообразных аварийно химически опасных и других опасных химических веществ, аэрозолей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и пыли, в том числе от радиоактивной пыли и аэрозолей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опасных биологических агентов, </w:t>
      </w:r>
      <w:r>
        <w:rPr>
          <w:rFonts w:ascii="Times New Roman"/>
          <w:b/>
          <w:i w:val="false"/>
          <w:color w:val="000000"/>
          <w:sz w:val="28"/>
        </w:rPr>
        <w:t>до установленных предельно допустимых концентраций;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чистой вентиляции", "режим I" – снабжение защитного сооружения гражданской обороны наружным воздухом, очищенным от пыли с помощью фильтровентиляционных систем;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оповещения" – организационно-техническое объединение сил, каналов сети связи, сетей вещания, средств связи и оповещения, обеспечивающих доведение сигналов и информации оповещения до населения, должностных лиц органов управления и сил гражданской обороны в целях предупреждения и ликвидации чрезвычайных ситуаций;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связи" – организационно-техническое объединение сил и средств связи, обеспечивающих обмен информацией в системе управления гражданской обороной в целях предупреждения и ликвидации чрезвычайных ситуаций;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управления гражданской обороной" – составная часть системы государственного управления государства – члена Союза, предназначенная для решения задач в области гражданской обороны и представляющая собой совокупность органов управления, а также пунктов управления и технических средств, обеспечивающих управление гражданской обороной;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связи" – техническое устройство, осуществляющее передачу, обработку и прием сообщений в системе управления гражданской обороной;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"стихийное бедствие" – разрушительное природное и (или) природно-антропогенное явление или процесс, в результате которого может возникнуть или возникла угроза жизни и здоровью людей, может произойти разрушение или уничтожение объектов производственного и (или) непроизводственного назначения, а также компонентов окружающей среды;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средства мониторинга чрезвычайных ситуаций" – изделия, устройства, приборы и информационно-вычислительные (программно-технические) комплексы, предназначенные для обеспечения наблюдения за окружающей средой, техногенными объектами с целью оценки, анализа и своевременного выявления изменений их состояния, происходящих в них процессов и явлений, а также для информационной поддержки при принятии решений по предупреждению и ликвидации чрезвычайных ситуаций;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"техническое средство оповещения" – техническое устройство, осуществляющее передачу, обработку и прием сигналов и информации оповещения;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"техническое средство управления и связи" – техническое устройство, осуществляющее передачу, обработку и прием сообщений в системах управления гражданской обороной, предупреждения и ликвидации чрезвычайных ситуаций;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"убежище" – защитное сооружение гражданской обороны, предназначенное для защиты людей в течение нормативного времени от расчетного воздействия поражающих факторов ядерного и химического оружия и обычных средств поражения, опасных биологических агентов, внешнего радиоактивного излучения и поражающих концентраций аварийно химически опасных веществ, возникающих при авариях на потенциально опасных объектах, а также от высоких температур и продуктов горения при пожарах;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"укрытие (защитное укрытие)" – защитное сооружение гражданской обороны, предназначенное для защиты людей, материальных и культурных ценностей от фугасного и осколочного действия обычных средств поражения, а также от поражения обломками строительных конструкций зданий и сооружений при их разрушении в результате воздействия поражающих факторов обычных средств поражения и чрезвычайных ситуаций природного и техногенного характера;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"фугасное действие" – действие боеприпасов, при котором цель поражается продуктами взрыва разрывного заряда и образующейся ударной волной;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"химическое заражение" – распространение опасных химических веществ в окружающей среде в концентрациях или количествах, создающих угрозу для людей, сельскохозяйственных животных и растений в течение определенного времени;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– обстановка, сложившаяся на определенной территории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идентификации продукции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Идентификация продукции осуществляется изготовителем (уполномоченным изготовителем лицом), продавцом, импортером, органами государств – членов Союза (далее – государства-члены), ответственными за осуществление государственного контроля (надзора) за соблюдением требований настоящего технического регламента, и органами по сертификации в следующих целях: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установление принадлежности продукции к объектам технического регулирования настоящего технического регламента;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предупреждение действий, вводящих в заблуждение потребителей.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идентификации продукции в целях установления ее принадлежности к объектам технического регулирования настоящего технического регламента идентифицирующее продукцию лицо, указанное в пункте 5 настоящего технического регламента, должно убедиться в том, что идентифицируемая продукция не подпадает под действие пункта 3 настоящего технического регламента и относится к определенной группе продукции, предусмотренной приложением к настоящему техническому регламенту.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Идентификация продукции осуществляется путем установления тождественности ее характеристик фактическим характеристикам, приведенным в технической документации, и идентифицирующим признакам, включая ее наименование, тип (вид), назначение, технические параметры и характеристики, товарный знак и (или) наименование изготовителя, наименование страны, в которой она изготовлена.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обращения продукции на рынке Союза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Продукция, на которую распространяется действие настоящего технического регламента,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Союза и не допускается к выпуску в обращение на рынке Союза.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выпускается в обращение на рынке Союза при ее соответствии настоящему техническому регламенту и другим техническим регламентам Союза (Таможенного союза), действие которых распространяется на такую продукцию, и при условии, что она прошла оценку соответствия согласно разделу VII настоящего технического регламента и другим техническим регламентам Союза (Таможенного союза), действие которых на нее распространяется.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к продукции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Требования к защитно-герметическим устройствам и изделиям защитных сооружений гражданской обороны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Основными элементами защитно-герметических и герметических дверей, ворот и ставней являются: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полотно (створки) – предназначено для перекрытия проема и должно представлять собой металлическую конструкцию, изготовленную из листового и профильного проката. Полотно ворот допускается сваривать из отдельных стальных листов;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коробка (комингс) – предназначена для передачи расчетной нагрузки с полотна на ограждающие строительные конструкции, а также для герметизации проема и должна представлять собой раму, сваренную из профильного проката;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механизм задраивания – предназначен для запирания и герметизации проема и должен включать в себя конический редуктор, винтовые тяги с клиньями и штурвалами (рукоятками). Механизм задраивания должен располагаться с внутренней стороны изделия и обеспечивать его открывание и закрывание с обеих сторон. Запирающие клинья затвора при затяжке должны прижимать полотно к коробке.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Герметичность защитно-герметических и герметических дверей, ворот и ставней должна обеспечиваться за счет специального уплотнителя, расположенного по периметру полотна.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Защитно-герметические двери, ворота и ставни должны обеспечивать герметизацию убежищ и защиту укрываемых людей от расчетного воздействия воздушной ударной волны, в том числе при действии ядерных средств поражения, фугасном действии обычных средств поражения, от обломков конструкций при разрушении вышерасположенных этажей зданий, а также от действия внешнего радиоактивного излучения и аварийно химически опасных веществ.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Защитно-герметические двери и ворота должны применяться в качестве наружных устройств для тамбуров, а также в качестве наружных и внутренних устройств для тамбуров-шлюзов.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Защитно-герметические ставни должны применяться в качестве наружных и внутренних устройств для установки в лазах, расширительных камерах, камерах установки фильтров и других подобных помещениях.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Герметические двери, ворота и ставни должны обеспечивать герметизацию убежищ исходя из расчетного воздействия внешнего радиоактивного излучения и аварийно химически опасных веществ.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Герметические двери и ворота должны применяться в качестве внутренних устройств для тамбуров, а также в качестве наружных и внутренних устройств для тамбура дизельной электростанции.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Герметические ставни должны применяться в качестве внутренних устройств и устанавливаться в тамбурах лазов за защитно-герметическим ставнем и в других подобных помещениях.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Защитно-герметические и герметические двери и ворота должны быть распашными или откатными.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распашных устройств должно осуществляться путем вращения полотен вокруг петель, приваренных к коробке. У откатных устройств полотно должно быть подвешено на ходовых тележках, которые передвигаются по монорельсу, входящему в сварную конструкцию коробки (комингса).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защитных сооружениях гражданской обороны установка защитно-герметических и герметических дверей, ворот и ставней производится согласно проектной документации.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Защитно-герметические и герметические двери, ворота и ставни при дополнительном обосновании могут оборудоваться блокировочным устройством – электромагнитной защелкой, которая не допускает разгерметизации полотна (створки) без подачи сигнала с пункта управления.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наружные поверхности деталей и узлов защитно-герметических и герметических дверей, ворот и ставней, за исключением трущихся, неметаллических и оцинкованных, должны быть окрашены.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Запирающие клинья механизма задраивания должны перемещаться без толчков и заеданий, а затвор при затяжке должен обеспечивать равномерное обжатие уплотнения по всему периметру.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Распашные защитно-герметические и герметические двери, ворота и ставни устанавливаются так, чтобы со стороны большего давления (воздействия) полотно прижималось к коробке и работало на прижим.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Распашные защитно-герметические и герметические двери, ворота и ставни устанавливаются с открыванием как направо, так и налево, для чего они разворачиваются при монтаже на 180 градусов. При наличии сигнализационного устройства конечный выключатель следует устанавливать на верху коробки.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полотне защитно-герметических и герметических дверей, ворот и ставней с наружной стороны указывается завод-изготовитель, шифр изделия и дата его изготовления.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Противовзрывные защитные секции должны быть предназначены для защиты вентиляционных систем от воздействия ударной волны с давлением 0,03 – 1,0 МПа. При этом противовзрывные защитные секции под действием ударной волны должны перекрывать автоматически вентиляционные шахты или воздуховоды и обеспечивать защиту от проникания волны в защитные сооружения гражданской обороны.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Расширительные камеры должны быть рассчитаны на нагрузку 0,02 МПа.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Клапаны герметические с ручным и электрическим приводом предназначены для установки на воздуховодах вентиляционных систем в качестве запорных устройств и служат для надежной изоляции помещений от наружной среды или надежной изоляции одних помещений от других.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аэродинамического сопротивления клапанов герметических с электрическим и ручным приводом должен быть равен 0,3.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Клапаны герметические должны сохранять работоспособность при температуре воздуха от минус 50 °С до плюс 50 °С в качестве запорных устройств для надежной изоляции помещений от наружной среды или надежной изоляции одних помещений от других.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Клапаны герметические устанавливаются: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пересечения воздуховодов с внешними и внутренними границами герметизации;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отключения различных фильтров, используемых для очистки и регенерации воздуха при режиме фильтровентиляции и режиме полной или частичной изоляции с регенерацией внутреннего воздуха;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отключения воздуховодов от помещений с отравляющими веществами и взрывоопасными веществами;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воздуховодах, открываемых или закрываемых в аварийных случаях (на воздуховодах дымоудаления), или для переключения работы систем вентиляции из одного режима в другой.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Конструктивное исполнение электрического привода клапана герметического должно предусматривать: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дистанционную или местную сигнализацию в крайних положениях запорного устройства ("открыто" – "закрыто");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автоматическую остановку запорного органа при достижении крайних положений;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автоматическую остановку запорного органа при превышении установленного значения крутящего момента.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исполнение ручного привода должно предусматривать дистанционную или местную сигнализацию в крайних положениях запорного устройства ("открыто" – "закрыто").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Клапаны избыточного давления предназначены для автоматического поддержания постоянного избыточного давления (подпора) в смежных помещениях и для подачи воздуха из одного помещения в другое только в одном направлении. Клапаны должны срабатывать (открываться) за счет усилия, создаваемого избыточным давлением на поверхности тарели, и устанавливаться со стороны помещения с большим давлением. После выравнивания или достижения установленного значения перепада давления, а также при повышении давления за клапаном он должен под действием силы тяжести груза или давления закрываться. Крепление клапана должно производиться болтами к ответному фланцу на воздуховоде (закладной детали).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Клапаны избыточного давления должны подразделяться по диаметру условного прохода трубы, к которой они присоединяются, выраженному в миллиметрах (100, 150, 200, 300 мм).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Регулирующие заглушки должны устанавливаться на вентиляционных отверстиях диаметром 150 мм или 200 мм в стенах помещений и использоваться в качестве регулирующего и запорного устройства.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Устройства и изделия должны сохранять работоспособность при воздействии на них следующих климатических факторов: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температуры окружающей среды до 50 °С;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понижение температуры окружающей среды до минус 50 °С;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относительной влажности воздуха до 98 процентов при температуре окружающей среды 50 °С.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устройств и изделий должна характеризоваться следующими значениями показателей: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время восстановления – не более 5 часов;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предельного состояния – коррозия металла.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устройств должен быть подтвержден изготовителем документально.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вентиляционным агрегатам, фильтрам и установкам регенерации воздуха защитных сооружений гражданской обороны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защитных сооружениях гражданской обороны следует применять вентиляторы с электрическим и электроручным приводом.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Вентиляторы с электроручным приводом следует применять в зависимости от климатических зон для вентиляции убежищ вместимостью не более 600 человек.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электроручном вентиляторе следует предусматривать установку обратного клапана – указателя расхода воздуха.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от электропривода редуктор должен отключаться от вала рабочего колеса автоматически муфтой переключения. При отсутствии электроэнергии работа вала должна осуществляться вращением рукоятки редуктора.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электроручных вентиляторов при работе от электропривода и ручного привода с частотой вращения рукоятки 45 мин-1 должна обеспечивать проектную потребность убежища в подаваемом воздухе с учетом аэродинамического сопротивления установленных фильтров.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очистки наружного воздуха от пыли и аэрозольных частиц продуктов горения во всех режимах должны использоваться фильтры ячейковые, соответствующие проектной производительности системы вентиляции защитных сооружений гражданской обороны.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применения предфильтров в режимах I и II перед ними следует предусматривать установку фильтров ячейковых с коэффициентом очистки не менее 0,8, соответствующих проектной производительности системы вентиляции убежища.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тонкой очистки наружного воздуха от пыли и аэрозольных частиц во всех режимах должны использоваться предфильтры, которые устанавливаются после фильтров ячейковых.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Регенерацию фильтров ячейковых следует проводить при достижении аэродинамического сопротивления сети в 160 Па, заменяя загрязненные фильтры на период их обработки резервными.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Предфильтры, применяемые в режимах I и II, должны иметь следующие показатели: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производительность – не более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сопротивление потоку воздуха – не более 265 Па;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коэффициент проскока по стандартному масляному туману – не более 14 процентов.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Если в период мирного времени очистка наружного воздуха от пыли не требуется, следует предусматривать возможность демонтажа ячеек фильтров ячейковых или кассет предфильтров.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Очищать наружный воздух от отравляющих веществ, радиоактивных веществ и бактериальных средств следует в фильтрах-поглотителях.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Регенерацию внутреннего воздуха следует предусматривать в регенеративных патронах со временем защитного действия при начальной концентрации диоксида углерода 20 ± 2 мг/л не менее 5 часов.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мирное время регенеративные патроны допускается использовать только в чрезвычайных ситуациях.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Технические средства управления и связи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Технические средства управления и связи по условиям эксплуатации подразделяются на следующие группы: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стационарных помещений, сооружений;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защитных сооружений гражданской обороны;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подвижных пунктов управления;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открытых пространств.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Технические средства управления и связи должны функционировать при следующих условиях: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размещении на открытом пространстве: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окружающей среды – от минус 50 °С до плюс 50 °С;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– от 30 процентов до 95 процентов;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атмосферное давление – от 74,8 до 106,7 кПа;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защиты оболочки – не ниже IP 54;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при размещении в закрытых отапливаемых помещениях: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окружающей среды – от минус 10 °С до плюс 45 °С;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– от 30 процентов до 78 процентов.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Автоматизированное рабочее место оперативного дежурного должно обеспечивать: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прием и передачу команд управления, автоматизацию процесса управления силами и средствами гражданской обороны, а также защиту от чрезвычайных ситуаций;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программную совместимость и техническое сопряжение автоматизированных рабочих мест между собой на всех уровнях управления гражданской обороной и с автоматизированными рабочими местами взаимодействующих органов управления;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информационную безопасность.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Оконечный абонентский терминал должен обеспечивать должностному лицу органа управления: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доступ к необходимым услугам связи;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возможность управления визуальной и звуковой информацией в целях управления ресурсами, услугами связи и передачи данных.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Вспомогательное оборудование для технических средств управления и связи должно обеспечивать: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формирование, преобразование и обработку сигналов и сообщений, передаваемых или принимаемых по сетям связи и передачи данных;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защиту информации от несанкционированного доступа;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электропитанием автоматизированных рабочих мест оперативного дежурного и оконечных абонентских терминалов.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Технические средства оповещения об опасностях, возникающих при военных конфликтах или вследствие этих конфликтов, а также о чрезвычайных ситуациях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Технические средства оповещения подразделяются на следующие группы: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функциональному назначению: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рабочее место оповещения населения;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аппаратура запуска оконечных средств оповещения;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оконечное средство оповещения;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условиям эксплуатации: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стационарных помещений, сооружений;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защитных сооружений гражданской обороны;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подвижных пунктов управления;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открытых пространств.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Автоматизированное рабочее место оповещения населения должно обеспечивать: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программную совместимость и техническое сопряжение автоматизированных рабочих мест оповещения населения между собой на всех уровнях управления гражданской обороной и с автоматизированными рабочими местами взаимодействующих органов управления;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прием сигналов и информации оповещения от органов управления на всех уровнях;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прием данных от систем мониторинга природных и техногенных чрезвычайных ситуаций и анализ таких данных, подготовку информации оповещения, списка оповещаемых абонентов и технических средств, используемых для оповещения населения;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формирование, передачу сигналов и информации оповещения в следующих режимах: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циркулярный;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групповой;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передачу следующих видов сигналов и информации оповещения: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звуковое оповещение;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речевое сообщение;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текстовое сообщение;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видеосообщение;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автоматический повтор передачи недоставленных сигналов и информации оповещения до получения подтверждения или достижения установленного п</w:t>
      </w:r>
      <w:r>
        <w:rPr>
          <w:rFonts w:ascii="Times New Roman"/>
          <w:b/>
          <w:i w:val="false"/>
          <w:color w:val="000000"/>
          <w:sz w:val="28"/>
        </w:rPr>
        <w:t>ри настройке количества попыток такой передачи;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передачу заранее записанных сигналов и информации оповещения на магнитных (электронных) носителях или способом прямой передачи;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запись сигналов и информации оповещения;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возможность оперативного ввода информации оповещения или редактирование информации оповещения, введенной ранее;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ведение двустороннего обмена речевыми сообщениями в режиме конференции с одним или группой автоматизированных рабочих мест оповещения населения с возможностью записи звука;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подготовку (запись), хранение звуковых, речевых, текстовых и видеосообщений, программ оповещения, вариантов и режимов их передачи;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установление приоритета оповещения абонентов (управление очередностью оповещения абонентов в списке оповещения);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периодический мониторинг состояния технических средств оповещения населения и каналов связи в дежурном режиме и при передаче сигналов и информации оповещения;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приостановку или отмену выполнения сеанса оповещения по команде;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визуализацию процесса оповещения в реальном времени с отображением списка объектов оповещения, времени оповещения (для каждого объекта) и каналов, по которым осуществляется оповещение;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формирование баз данных информации о ходе и результатах оповещения (с возможностью вывода этой информации на печать);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комплексное использование сетей и каналов связи для передачи сигналов и информации оповещения.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Аппаратура запуска оконечных средств оповещения предназначена для переключения каналов связи и сетей вещания и включения (отключения) оконечных средств оповещения для передачи сигналов и информации оповещения. Аппаратура запуска оконечных средств оповещения должна обеспечивать: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работу оконечных средств оповещения по 2 независимым видам связи;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переключение каналов связи и сетей вещания;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включение (отключение) оконечных средств оповещения для передачи сигналов и информации оповещения;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работу по цифровым и аналоговым сетям и каналам связи,</w:t>
      </w:r>
      <w:r>
        <w:rPr>
          <w:rFonts w:ascii="Times New Roman"/>
          <w:b/>
          <w:i w:val="false"/>
          <w:color w:val="000000"/>
          <w:sz w:val="28"/>
        </w:rPr>
        <w:t xml:space="preserve"> различные комбинации каналов связи.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Оконечное средство оповещения </w:t>
      </w:r>
      <w:r>
        <w:rPr>
          <w:rFonts w:ascii="Times New Roman"/>
          <w:b/>
          <w:i w:val="false"/>
          <w:color w:val="000000"/>
          <w:sz w:val="28"/>
        </w:rPr>
        <w:t xml:space="preserve">типа "речевоспроизводящая установка" </w:t>
      </w:r>
      <w:r>
        <w:rPr>
          <w:rFonts w:ascii="Times New Roman"/>
          <w:b w:val="false"/>
          <w:i w:val="false"/>
          <w:color w:val="000000"/>
          <w:sz w:val="28"/>
        </w:rPr>
        <w:t>предназначено для передачи звуковых сигналов и информации оповещения и должно устанавливаться в местах пребывания населения как внутри помещений, так и на открытых пространствах.</w:t>
      </w:r>
    </w:p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Оконечное средство оповещения </w:t>
      </w:r>
      <w:r>
        <w:rPr>
          <w:rFonts w:ascii="Times New Roman"/>
          <w:b/>
          <w:i w:val="false"/>
          <w:color w:val="000000"/>
          <w:sz w:val="28"/>
        </w:rPr>
        <w:t xml:space="preserve">типа "речевоспроизводящая установка" </w:t>
      </w:r>
      <w:r>
        <w:rPr>
          <w:rFonts w:ascii="Times New Roman"/>
          <w:b w:val="false"/>
          <w:i w:val="false"/>
          <w:color w:val="000000"/>
          <w:sz w:val="28"/>
        </w:rPr>
        <w:t>должно обеспечивать: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воспроизводимых частот речевого тракта – не менее 0,3 – 3,4 кГц;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приема речевой информации, соответствующей следующим характеристикам: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слоговая разборчивость – не менее 90 процентов;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словесная разборчивость – не менее 97 процентов.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Уровень акустического давления, создаваемого оконечным средством оповещения типа "речевоспроизводящая установка"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акустической оси, измеряемый на открытой местности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безветренную погоду, устанавливается разработчиком для синусоидального сигнала частотой 1 кГц. Допускается отклонение акустического давления до минус 14 дБ от уровня на частоте 1 кГц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заявленном частотном диапазоне акустической установки. Параметр создаваемого давления измеряется на расстоянии 30 м от оконечного средства оповещения типа "речевоспроизводящая установка"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акустической оси в безветренную погоду. 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на открытом пространстве оконечное средство оповещения </w:t>
      </w:r>
      <w:r>
        <w:rPr>
          <w:rFonts w:ascii="Times New Roman"/>
          <w:b/>
          <w:i w:val="false"/>
          <w:color w:val="000000"/>
          <w:sz w:val="28"/>
        </w:rPr>
        <w:t xml:space="preserve">типа "речевоспроизводящая установка" </w:t>
      </w:r>
      <w:r>
        <w:rPr>
          <w:rFonts w:ascii="Times New Roman"/>
          <w:b w:val="false"/>
          <w:i w:val="false"/>
          <w:color w:val="000000"/>
          <w:sz w:val="28"/>
        </w:rPr>
        <w:t>должно устойчиво функционировать при следующих условиях: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окружающей среды – от минус 50 °С до плюс 50 °С;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– от 30 процентов до 95 процентов;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атмосферное давление – от 74,8 кПа до 106,7 кПа;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защиты оболочки – не ниже IP 54.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размещении в закрытых отапливаемых помещениях оконечное средство оповещения типа "речевоспроизводящая установка" должно устойчиво функционировать при следующих условиях: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температура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/>
          <w:i w:val="false"/>
          <w:color w:val="000000"/>
          <w:sz w:val="28"/>
        </w:rPr>
        <w:t>от минус 10 °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до плюс 45 °С;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относительная влажность воздуха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/>
          <w:i w:val="false"/>
          <w:color w:val="000000"/>
          <w:sz w:val="28"/>
        </w:rPr>
        <w:t>от 30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 78 процентов;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34. Оконечное средство оповещения типа "сирена" предназначено для передачи звуковых сигналов оповещения типа "сирена" и должно устанавливаться в местах пребывания населения как внутри помещений, так и на открытых пространствах.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Оконечное средство оповещения типа "сирена" должно обеспечивать передачу непрерывного и прерывистого сигналов сирены.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Уровень акустического давления, создаваемого оконечным средством оповещения типа "сирена" в заявленном разработчиком секторе действия, устанавливается разработчиком и измеряется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открытой местности в горизонтальных направлениях на расстоянии </w:t>
      </w:r>
      <w:r>
        <w:rPr>
          <w:rFonts w:ascii="Times New Roman"/>
          <w:b w:val="false"/>
          <w:i w:val="false"/>
          <w:color w:val="000000"/>
          <w:sz w:val="28"/>
        </w:rPr>
        <w:t>30 м</w:t>
      </w:r>
      <w:r>
        <w:rPr>
          <w:rFonts w:ascii="Times New Roman"/>
          <w:b/>
          <w:i w:val="false"/>
          <w:color w:val="000000"/>
          <w:sz w:val="28"/>
        </w:rPr>
        <w:t xml:space="preserve"> от оси оконечного средства оповещения типа "сирена"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безветренную погоду. Частота звуковых колебаний должна составлять 400 – 450 Гц.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размещении на открытом пространстве оконечное средство оповещения типа "сирена" должно устойчиво функционировать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 следующих условиях: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температура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от минус 50 °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до плюс 50 °С;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относительная влажность воздуха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от 30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 95 процентов;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атмосферное давление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от 74,8 кПа до 106,7 кПа;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степень защиты оболочки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не ниже IP 54.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размещении в закрытых отапливаемых помещениях оконечное средство оповещения типа "сирена" должно устойчиво функционировать при следующих условиях: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температура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от минус 10 °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до плюс 45 °С;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относительная влажность воздуха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от 30 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 78 процентов.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35. Технические средства оповещения, за исключением оконечных средств оповещения типа "сирена", должны обеспечивать сохранение своей работоспособности при отключении централизованного энергоснабжения в течение не менее 6 часов в дежурном режиме ожидания и не менее 1 часа в режиме передачи сигналов и информации оповещения.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оповещения должны соответствовать следующим требованиям: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наработка на отказ должна составлять не менее 30 000 часов;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должен быть определен изготовителем в технической (проектной, конструкторской, технологической и (или) эксплуатационной) документации.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Электропитание технических средств оповещения должно осуществляться от сети переменного тока напряжением 230 – 400 В (± 10 – 15 процентов) и частотой 50 ± 1 Гц. </w:t>
      </w:r>
      <w:r>
        <w:rPr>
          <w:rFonts w:ascii="Times New Roman"/>
          <w:b/>
          <w:i w:val="false"/>
          <w:color w:val="000000"/>
          <w:sz w:val="28"/>
        </w:rPr>
        <w:t>Допускается 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 сетей постоянного тока напряжением 60 ± 12 В, 48 ± 12 В, 12 ± 2 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другим напряжением в соответствии с технической документацией.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 аварийно-спасательным средствам предъявляются следующие требования безопасности: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конструкция аварийно-спасательных средств должна обеспечивать: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электробезопасность;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пожаробезопасность;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взрывобезопасность;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радиационную безопасность;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воздействия опасных химических веществ;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обслуживания;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к избыточному давлению;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конструкция аварийно-спасательных средств должна предусматривать защиту от ошибочных действий обслуживающего персонала при управлении этими средствами;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конструктивное исполнение аварийно-спасательных средств, используемые материалы, смазки, масла и т. д. при воздействии поражающих факторов должны исключать возможность образования очагов возгорания, появления электрического напряжения на частях аварийно-спасательных средств, образования источников внутреннего ионизирующего излучения с параметрами, превышающими предельно допустимые нормы, установленные законодательством государств-членов, нормы радиационной безопасности и соответствующие санитарные правила, а также возможность внезапного появления в воздушной среде рабочей зоны обслуживающего персонала паров опасных химических веществ;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аварийно-спасательные машины в зависимости от их функционального назначения должны быть оборудованы средствами очистки атмосферного воздуха от воздействия поражающих факторов для воздухоснабжения обслуживающего персонала и эвакуируемых пострадавших;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аварийно-спасательные средства должны иметь устройства аварийной остановки в случае нарушения работоспособности, в том числе при внезапном отключении питания (что может привести к возникновению аварийной ситуации);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электрическое оборудование и электрические сети аварийно-спасательных средств (если предусмотрены) должны быть надежно защищены от механических повреждений в процессе их эксплуатации и воздействия внешних сред, при этом должна быть обеспечена защита всех электрических сетей от перегрузок и коротких замыканий;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безопасность аварийно-спасательных средств не должна снижаться под воздействием внешних климатических и механических факторов, допускаемых условиями эксплуатации;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соблюдение требований безопасности должно быть обеспечено в течение всего срока службы аварийно-спасательных средств;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установленные в отношении аварийно-спасательных средств и их комплектующих сроки хранения и службы должны быть подтверждены изготовителем документально;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к каждому аварийно-спасательному средству должны прилагаться эксплуатационные документы.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К аварийно-спасательным средствам предъявляются следующие требования по их назначению: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аварийно-спасательные средства в соответствии с их видом и классом должны использоваться при выполнении наземных, горных, надводных (подводных) и подземных аварийно-спасательных работ и организации первоочередного жизнеобеспечения населения в зонах: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радиоактивного загрязнения;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химического заражения;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разрушений;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пожаров;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наводнений и затоплений;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биологического (бактериологического) заражения;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аварийно-спасательные средства должны обладать мобильностью и производительностью на уровне, обеспечивающем реализацию таких организационно-технологических принципов проведения аварийно-спасательных работ, как своевременность, непрерывность, всепогодность, высокий темп и эффективность их проведения;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аварийно-спасательные средства на транспортной базе должны обладать высокой проходимостью, способностью сохранять курсовую устойчивость и возможностью свободного маневрирования с эксплуатационной скоростью в заданном рабочем пространстве;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аварийно-спасательные средства одного вида и класса должны быть электрически и механически совместимы по уровню устойчивости к колебаниям питающего напряжения и изменению частоты питающего напряжения;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аварийно-спасательные средства, имеющие в составе функциональных элементов радиоэлектронные устройства, должны обладать устойчивостью к радиопомехам;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аварийно-спасательные средства должны обладать стойкостью к внешним воздействиям, характерным для аварийной среды, в которой применяются такие средства, а также способностью сохранять свои характеристики и параметры при воздействии поражающих факторов (физико-механических, физико-химических);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радиоэлектронные аварийно-спасательные средства должны обладать электромагнитной совместимостью, функционировать без недопустимых взаимных помех в собственной электромагнитной среде;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робототехнические аварийно-спасательные средства должны выполнять аварийно-спасательные работы без непосредственного нахождения человека в опасной зоне.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К аварийно-спасательным средствам предъявляются следующие требования надежности.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средства по характеру функционирования должны относиться к изделиям многократного циклического применения, отказы которых не приводят к последствиям катастрофического характера.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аварийно-спасательных средств должны задаваться следующие показатели надежности: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безотказность;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долговечность;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ремонтопригодность;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сохраняемость;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Аварийно-спасательные средства должны сохранять работоспособность при воздействии: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механических факторов;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климатических и других природных факторов (температуры, давления, влажности);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радиационных факторов (радиоактивных веществ и их компонентов);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химических факторов (опасных химических веществ);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факторов специальных сред (пыли, элементов железобетонных конструкций и т. д.);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термических факторов (пожара).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К аварийно-спасательным средствам предъявляются следующие общие требования: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аварийно-спасательные средства любого класса должны иметь блочно-модульную конструкцию с максимально возможной унификацией транспортной базы, технических средств, инструментов и оборудования;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конструкция корпуса, размеры и взаимное расположение его элементов должны обеспечивать прочность, надежность технической эксплуатации составных частей и деталей и максимальное исключение загрязнения окружающей среды при эксплуатации;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конструкция блочно-модульных элементов аварийно-спасательных средств должна обеспечивать выполнение всех функций в соответствии с назначением аварийно-спасательных средств в условиях воздействия поражающих факторов и иметь минимально возможные габариты, свободный доступ к составным частям для технического обслуживания и ремонта без демонтажа узлов и блоков;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масса, габариты и другие параметры аварийно-спасательных средств при всех вариантах комплектования рабочим инструментом и приборами должны соответствовать значениям, установленным для данного класса и типа аварийно-спасательных средств;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конструкция аварийно-спасательных средств должна обеспечивать возможность их использования в любое время года и суток в течение всего заявленного срока эксплуатации и защиту функционального оборудования и технических средств от перегрузок, вызванных нарушением эксплуатационных ограничений, внезапного прекращения электропитания, повреждения грызунами и биологическими вредителями;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внутренние (бортовые) источники электропитания должны быть автономными и обеспечивать заданное время непрерывной работы и автономного функционирования аварийно-спасательных средств;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прочностные характеристики материалов должны обеспечивать надежность аварийно-спасательных средств при воздействии внешних факторов (механических, климатических, радиационных, специальных сред, термических);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составные части аварийно-спасательных средств в зависимости от их назначения должны допускать обработку: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водой, водными растворами поверхностно-активных веществ, растворами на основе спирта;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дегазирующими, дезинфицирующими и дезактивирующими растворами;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воздушным потоком;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 воздействием неметаллическими щетками;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материалы, используемые при изготовлении аварийно-спасательных средств, рабочие поверхности деталей механизмов и приборов должны иметь защитные покрытия, предохраняющие их от коррозионного и абразивного разрушения;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способы соединения деталей и сборочных единиц между собой в аварийно-спасательных средствах должны обеспечивать надежное и быстрое соединение вручную или автоматически и исключать возможность неправильной сборки;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самоходные аварийно-спасательные средства и аварийно-спасательные средства на транспортной базе должны быть оборудованы осветительными приборами, отличительными светоакустическими системами и средствами звуковой сигнализации. В темное время суток и в неосвещенных помещениях разрешена эксплуатация таких аварийно-спасательных средств только при включенных осветительных и отличительных ходовых приборах.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К аварийно-спасательным средствам предъявляются следующие требования транспортабельности: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аварийно-спасательные средства должны иметь возможность перевозиться всеми возможными видами транспорта с применением и без применения транспортного контейнера;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транспортирование аварийно-спасательных средств своим ходом на базе шасси транспортных средств должно быть обеспечено в течение всего срока эксплуатации без снижения функциональной эффективности;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транспортирование аварийно-спасательных средств авиационным, железнодорожным, водным транспортом должно обеспечиваться без снижения уровня их технического состояния, без ограничения дальности и скорости;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операции по демонтажу должны быть простыми и занимать минимально возможное время. Допускается частичный демонтаж аварийно-спасательных средств без потери возможности перемещаться своим ходом;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каждое аварийно-спасательное средство должно иметь штатный комплект приспособлений для беспроволочного крепления при перевозке любым видом транспорта;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самоходные аварийно-спасательные средства и аварийно-спасательные средства на транспортной базе должны иметь устройства, обеспечивающие их буксировку другим транспортным средством.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К аварийно-спасательным средствам предъявляются следующие требования технологичности: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доступность и удобство технического обслуживания и ремонта;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заданная надежность, обеспечивающая восстановление работоспособности при эксплуатации в рамках штатного расчета.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Аварийно-спасательные средства должны отвечать следующим специальным требованиям: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самоходные аварийно-спасательные средства и аварийно-спасательные средства на транспортной базе должны быть оборудованы средствами связи и навигации;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 всех аварийно-спасательных средствах, оборудованных средствами связи и навигации, для энергопитания радиооборудования должно быть не менее 2 источников электроэнергии (основной и резервный).</w:t>
      </w:r>
    </w:p>
    <w:bookmarkEnd w:id="301"/>
    <w:bookmarkStart w:name="z31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Технические средства мониторинга чрезвычайных ситуаций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Технические средства мониторинга чрезвычайных ситуаций должны соответствовать классификации по функциональному назначению.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Мониторинг чрезвычайных ситуаций техногенного характера осуществляется в отношении: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технологических процессов;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инженерных систем жизнеобеспечения и безопасности;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инженерных (несущих) конструкций зданий и сооружений;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объектов транспортирования и хранения опасных химических и взрывчатых веществ;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радиоактивного загрязнения, химического и биологического заражения окружающей среды.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Мониторинг чрезвычайных ситуаций природного характера осуществляется в отношении: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геологических процессов и явлений;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метеорологических процессов и явлений;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гидрологических процессов и явлений;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природных пожаров.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Технические средства мониторинга чрезвычайных ситуаций должны функционировать в режимах непрерывного и (или) периодического мониторинга.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Технические средства мониторинга чрезвычайных ситуаций должны информационно обеспечивать выполнение органами управления следующих функций: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управление рисками чрезвычайных ситуаций;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прогнозирование чрезвычайных ситуаций;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оценка эффективности предупреждения чрезвычайных ситуаций по результатам мониторинга;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информационный обмен между государственными системами предупреждения и ликвидации чрезвычайных ситуаций государств-членов.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Технические средства мониторинга чрезвычайных ситуаций должны в реальном времени выполнять следующие функции: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датчики и измерительные средства контроля изменения состояния параметров окружающей среды или отдельных ее компонентов – осуществлять контроль параметров, характеризующих потенциальную опасность источников чрезвычайных ситуаций;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средства передачи данных – обеспечивать доведение сообщений об опасном изменении параметров окружающей среды или отдельных ее компонентов, характеризующих потенциальную опасность источников чрезвычайных ситуаций, через органы управления до органов власти государств-членов, руководителей объектов;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информационно-вычислительные (программно-технические) комплексы мониторинга – осуществлять информационную поддержку принятия решений на уровне органов власти государств-членов, руководителей объектов по недопущению чрезвычайных ситуаций и ликвидации их последствий.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Информационно-вычислительные (программно-технические) комплексы мониторинга, средства передачи данных, а также датчики и измерительные средства контроля изменения состояния параметров окружающей среды или отдельных ее компонентов должны обеспечивать совместимость и информационно-техническое сопряжение с автоматизированными системами органов управления в соответствии с техническими условиями (требованиями) на их подключение (сопряжение), определяемыми данными органами.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При осуществлении мониторинга чрезвычайных ситуаций информационно-вычислительные (программно-технические) комплексы мониторинга и средства передачи данных должны обеспечивать защиту информации от несанкционированного доступа.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При осуществлении мониторинга чрезвычайных ситуаций допускается использование каналов сетей связи общего пользования.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В случае сбоя передачи информации (временного отсутствия соединения) информационно-вычислительные (программно-технические) комплексы мониторинга должны обеспечивать: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сохранение передаваемой информации в очереди (базах данных);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цикличный повтор попыток передачи информации из очереди вплоть до успешного завершения данной операции;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очистку очереди при успешной передаче всей информации.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Средняя задержка в выдаче сообщений от датчиков и измерительных средств контроля изменения состояния параметров окружающей среды или отдельных ее компонентов не должна превышать 30 секунд с момента критического изменения параметров мониторинга.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Показатели надежности технических средств мониторинга должны иметь следующие значения: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коэффициент готовности – не менее 99,8 процента;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средняя наработка на отказ – не менее 10 000 часов.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 В технических средствах мониторинга чрезвычайных ситуаций должно быть предусмотрено диагностирование: 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работоспособности технических средств мониторинга чрезвычайных ситуаций;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сопряжения технических средств мониторинга чрезвычайных ситуаций с контролируемыми системами;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сопряжения технических средств мониторинга чрезвычайных ситуаций с внешними системами; 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состояния работоспособности оператора технических средств мониторинга чрезвычайных ситуаций путем получения ответов на автоматически отправляемые контрольные сообщения. 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Срок службы технических средств мониторинга чрезвычайных ситуаций должен быть подтвержден изготовителем документально.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Датчики и измерительные средства контроля изменения состояния параметров окружающей среды или отдельных ее компонентов, а также средства передачи данных должны быть устойчивы к воздействию механических и климатических факторов.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Технические средства мониторинга чрезвычайных ситуаций должны быть включены в состав оборудования с гарантированным электроснабжением от источников резервного питания в течение не менее 2 часов.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Технические средства мониторинга чрезвычайных ситуаций должны сохранять работоспособность при допустимых отклонениях напряжения электросети: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снижении до 15 процентов;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 повышении до 10 процентов.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Программное обеспечение информационно-вычислительных (программно-технических) комплексов мониторинга должно отвечать следующим требованиям: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должно быть обеспечено наличие удобного, интуитивно понятного графического интерфейса;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стиль оформления, качество графики диалоговых окон должны соответствовать стилю оформления используемой операционной системы;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работа оператора должна осуществляться в форме интерактивных манипуляций с экранными формами, встроенными в меню.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В конструктивной части технические средства мониторинга чрезвычайных ситуаций должны быть построены по модульному и блочно-агрегатному принципу и обеспечивать: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взаимозаменяемость сменных однотипных составных частей;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защиту от несанкционированного доступа к элементам управления параметрами;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доступ ко всем элементам, узлам и блокам, требующим регулирования или замены в процессе эксплуатации.</w:t>
      </w:r>
    </w:p>
    <w:bookmarkEnd w:id="354"/>
    <w:bookmarkStart w:name="z36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маркировке продукции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 На продукцию и упаковку должна наноситься маркировка, содержащая следующую информацию: 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продукции и ее тип (вид), марка, модель;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назначение, основные технические параметры и характеристики продукции;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страны-изготовителя;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местонахождение и адрес юридического лица, являющегося изготовителем (адрес места осуществления деятельности (в случае, если адреса различаются), номера телефона и (или) адреса электронной почты);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товарный знак (при наличии);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изготовления продукции (месяц, год);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срок службы (годности);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состав сырья (при необходимости);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гарантийные обязательства изготовителя (при необходимости);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номер партии продукции (при необходимости).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Маркировка должна быть нанесена на русском языке и при наличии соответствующих требований в законодательстве государств-членов на государственном языке (государственных языках) государства-члена, на территории которого реализуется продукция. При необходимости допускается дополнительное нанесение маркировки на других языках при условии идентичности содержания с текстом.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Если маркировку невозможно нанести непосредственно на продукцию, маркировка должна быть нанесена на упаковку и внесена в техническую документацию на продукцию. Изготовитель самостоятельно устанавливает возможность или невозможность нанесения маркировки на продукцию.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продукции должна быть разборчивой, легкочитаемой и нанесена в доступном для осмотра месте.</w:t>
      </w:r>
    </w:p>
    <w:bookmarkEnd w:id="369"/>
    <w:bookmarkStart w:name="z38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Обеспечение соответствия продукции требованиям технического регламента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Соответствие продукции настоящему техническому регламенту обеспечивается выполнением его требований непосредственно либо выполнением требований стандартов,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(далее – перечень стандартов, в результате применения которых обеспечивается выполнение настоящего технического регламента).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устройства, являющиеся объектами технического регулирования, на которые распространяется действие настоящего технического регламента, отнесенные к средствам измерений или техническим системам и устройствам с измерительными функциями, подлежат государственному регулированию в области обеспечения измерений в соответствии с законодательством в области обеспечения единства измерений государств-членов и правом Союза в области обеспечения единства измерений.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Методы исследований (испытаний) и измерений продукции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bookmarkEnd w:id="373"/>
    <w:bookmarkStart w:name="z38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продукции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Продукция, на которую распространяется действие настоящего технического регламента, перед выпуском в обращение на таможенной территории Союза подлежит оценке соответствия требованиям настоящего технического регламента.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Оценка соответствия продукции требованиям настоящего технического регламента осуществляется в соответствии с настоящим разделом на основе типовых схем с учетом особенностей, установленных настоящим техническим регламентом.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продукции требованиям настоящего технического регламента осуществляется в форме сертификации по одной из следующих схем: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выпускаемой серийно, – 1с и 2с;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партии устройств – по схеме 3с;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единичного устройства − по схеме 4с.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При подтверждении соответствия заявителем являются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предпринимателя: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выпускаемой серийно, – изготовитель (уполномоченное изготовителем лицо);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партии продукции (единичного изделия) – изготовитель (уполномоченное изготовителем лицо), продавец (импортер).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При проведении сертификации заявитель: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представляет заявку на проведение сертификации и комплект документов, который включает в себя: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технической (проектной, конструкторской, технологической и (или) эксплуатационной) документации на продукцию, а также копию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(с указанием их обозначений и наименований, а также разделов (пунктов и подпунктов), если выполнение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в результате применения которых обеспечивается выполнение настоящего технического регламента (в случае их применения заявителем);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в результате применения которых обеспечивается выполнение настоящего технического регламента, отсутствуют или не применялись (при необходимости);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соответствия системы менеджмента, распространяющегося на производство сертифицируемой продукции,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(для схемы 2с);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исследований (испытаний) и измерений образцов продукции (при наличии);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(для уполномоченного изготовителем лица) (для схемы 1с);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схем 3с и 4с);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подтверждения соответствия продукции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 (при наличии).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сертификации и комплект документов подаются в один из аккредитованных органов по сертификации, включенных в единый реестр органов по оценке соответствия Союза и имеющих действующую аккредитацию в требуемой области аккредитации (далее – орган по сертификации).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сертификации оформляется заявителем в соответствии с типовыми схемами.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на проведение сертификации также должны содержаться идентифицирующие признаки партии продукции (для схем 3с и 4с);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завершения процедур подтверждения соответствия наносит единый знак обращения продукции на рынке Союза в порядке, утверждаемом Евразийской экономической комиссией;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заранее извещает орган по сертификации о внесении изменений в технологию производства продукции, которые могут повлиять на соответствие продукции требованиям настоящего технического регламента (для схем 1с и 2с).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При проведении сертификации орган по сертификации: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анализирует заявку на проведение сертификации и комплект документов, представленные заявителем, и сообщает заявителю о принятом решении, содержащем условия проведения сертификации;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осуществляет идентификацию в соответствии с разделом III настоящего технического регламента и отбор образцов продукции для проведения исследований (испытаний) и измерений;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организует проведение исследований (испытаний) и измерений образцов продукции в аккредитованной испытательной лаборатории (центре), включенной в единый реестр органов по оценке соответствия Союза (далее – аккредитованная испытательная лаборатория (центр));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проводит анализ состояния производства (для схемы 1с);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проводит анализ полученных результатов работ, выполненных в соответствии с требованиями применяемой схемы сертификации, и принимает решение о выдаче или об отказе в выдаче сертификата соответствия продукции требованиям настоящего технического регламента (далее – сертификат соответствия);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при положительных результатах анализа представленного заявителем комплекта документов, исследований (испытаний) и измерений образцов продукции и анализа состояния производства, выполненных в соответствии с требованиями применяемой схемы сертификации, оформляет сертификат соответствия по единой форме, утверждаемой Евразийской экономической комиссией, и выдает его заявителю;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вносит сведения о сертификате соответствия в единый реестр выданных сертификатов соответствия и зарегистрированных деклараций о соответствии;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осуществляет периодическую оценку сертифицированной продукции в течение срока действия сертификата соответствия 1 раз в год посредством: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исследований (испытаний) и измерений образцов продукции в аккредитованной испытательной лаборатории (центре) и (или) анализа состояния производства (для схемы 1с);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исследований (испытаний) и измерений образцов продукции в аккредитованной испытательной лаборатории (центре) и проведения анализа результатов периодической оценки сертифицированной системы менеджмента органом по сертификации систем менеджмента (для схемы 2с);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при положительных результатах периодической оценки сертифицированной продукции подтверждает действие сертификата соответствия, о чем указывается в соответствующем акте;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при отрицательных результатах периодической оценки сертифицированной продукции принимает решение приостановить или отменить действие сертификата соответствия;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доводит решение о результатах периодической оценки сертифицированной продукции до заявителя.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В случае проведения сертификации по схемам, предусматривающим сертификацию систем менеджмента, работы по сертификации систем менеджмента осуществляются органом по сертификации систем менеджмента, зарегистрированным на территории государства-члена в соответствии с его законодательством и аккредитованным в системах аккредитации этого государства.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Срок действия сертификата соответствия: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продукции, выпускаемой серийно, – устанавливается не более чем на 5 лет;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партии продукции (единичного изделия) – не устанавливается.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Орган по сертификации и заявитель после завершения сертификации осуществляют формирование и хранение комплекта доказательственных материалов, подтверждающих соответствие продукции требованиям настоящего технического регламента, который включает в себя: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документы, предусмотренные подпунктом "а" пункта 71 настоящего технического регламента;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 (акты) об идентификации и (или) отборе образцов (проб) продукции;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протокол (протоколы) проведения исследований (испытаний) и измерений;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результаты анализа состояния производства (для схемы 1с);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сертификат соответствия (копию сертификата соответствия).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Комплект документов, формируемый после процедуры подтверждения соответствия продукции, должен храниться у заявителя в течение следующих сроков: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 продукцию, выпускаемую серийно, – не менее 5 лет со дня прекращения действия сертификата соответствия;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 партию продукции (единичное изделие) – не менее 5 лет со дня окончания реализации партии продукции (единичного изделия).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Документы и материалы, подтверждающие результаты проведения сертификации, хранятся в органе по сертификации, выдавшем сертификат соответствия, в течение не менее 5 лет со дня окончания срока действия сертификата соответствия.</w:t>
      </w:r>
    </w:p>
    <w:bookmarkEnd w:id="427"/>
    <w:bookmarkStart w:name="z43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Маркировка единым знаком обращения продукции на рынке Союза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Продукция, соответствующая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и прошедшая процедуру подтверждения соответствия требованиям настоящего технического регламента и других технических регламентов Союза (Таможенного союза), действие которых на нее распространяется, маркируется единым знаком обращения продукции на рынке Союза.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Маркировка единым знаком обращения продукции на рынке Союза осуществляется перед выпуском продукции в обращение на рынке.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Единый знак обращения продукции на рынке Союза наносится на каждую единицу продукции любым способом, обеспечивающим его четкое и ясное изображение в течение всего срока службы (годности) продукции.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В случае если единый знак обращения продукции на рынке Союза невозможно нанести непосредственно на продукцию ввиду ее особенностей, допускается его нанесение на упаковку и техническую документацию.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050/2021)</w:t>
            </w:r>
          </w:p>
        </w:tc>
      </w:tr>
    </w:tbl>
    <w:bookmarkStart w:name="z44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технического регулирования, на которые распространяется действие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защитных сооружений гражданской обороны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Защитно-герметические устройства и изделия защитных сооружений гражданской обороны: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защитно-герметические и герметические двери, ворота и ставни;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противовзрывные защитные секции;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расширительные камеры;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клапаны герметические;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клапаны избыточного давления;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регулирующие заглушки.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Вентиляционные агрегаты, фильтры и регенеративные установки защитных сооружений гражданской обороны: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вентиляторы с электроручным приводом;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вентиляторы с электрическим приводом;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фильтры ячейковые;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предфильтры;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регенеративные патроны и установки (различных технологий регенерации).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управления, связи и оповещения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управления и связи: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автоматизированное рабочее место оперативного дежурного;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оконечный абонентский терминал;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вспомогательное оборудование.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средства оповещения населения об опасностях, возникающих при военных конфликтах или вследствие этих конфликтов, а также о чрезвычайных ситуациях: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автоматизированное рабочее место (АРМ) оповещения;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аппаратура запуска и мониторинга оконечных средств оповещения;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оконечное средство оповещения.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Аварийно-спасательные средства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Аварийно-спасательные машины.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Аварийно-спасательные робототехнические средства.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Аварийно-спасательный инструмент.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поиска пострадавших.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преодоления водных преград при ведении аварийно-спасательных работ.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жизнеобеспечения спасателей и пострадавших: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Здания и сооружения мобильные.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Палатки каркасные (пневмокаркасные).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Специальная защитная одежда (снаряжение) для аварийно-спасательных работ: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10.3.1. Специальная защитная одежда спасателя общего назначения.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10.3.2. Специальная защитная одежда (снаряжение) спасателя.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10.3.3. Средства защиты рук, ног, головы спасателя.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средства мониторинга чрезвычайных ситуаций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Информационно-вычислительные (программно-технические) комплексы мониторинга.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передачи данных.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Датчики и измерительные средства контроля изменения состояния параметров окружающей среды или отдельных ее компонентов.</w:t>
      </w:r>
    </w:p>
    <w:bookmarkEnd w:id="4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