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62ef0" w14:textId="af62e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изъятий и ограничений на внутреннем рынке Евразийского экономического союза, подлежащих устранению в 2021 - 2022 годах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20 августа 2021 года № 11.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изъятий и ограничений на внутреннем рынке Евразийского экономического союза, подлежащих устранению в 2021 - 2022 годах (далее - перечень).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Евразийской экономической комиссии (далее - Комиссия) совместно с государствами - членами Евразийского экономического союза до 1 октября 2021 г. подготовить проект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("дорожной карты") по устранению изъятий и ограничений на внутреннем рынке Евразийского экономического союза на 2021 - 2022 годы в соответствии с перечнем и представить его для рассмотрения Советом Комиссии.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Правительствам государств - членов Евразийского экономического союза до 15 сентября 2021 г. представить в Комиссию предложения о мероприятиях, направленных на устранение изъятий и ограничений в соответствии с перечнем, для включения их в план мероприятий, указанный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распоряжения.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Комиссии доложить на заседании Евразийского межправительственного совета в IV квартале 2021 г. о ходе реализации настоящего распоряжения и работе по дополнению перечня.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распоряжения,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25 октября 2017 г. № 17 "О плане мероприятий ("дорожной карте") по устранению изъятий и ограничений на внутреннем рынке Евразийского экономического союза на 2018 - 2019 годы".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Члену Коллегии (Министру) по внутренним рынкам, информатизации, информационно-коммуникационным технологиям Комиссии обеспечить мониторинг устранения изъятий и ограничений, включенных в перечень.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Члены Евразийского межправительственного совета: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межправительственного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2021 г. № 11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изъятий и ограничений на внутреннем рынке Евразийского экономического союза, подлежащих устранению в 2021 - 2022 годах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Необходимость прохождения трудящимися государств - членов Евразийского экономического союза (далее соответственно - государства-члены, Союз) установленной законодательством государств-членов процедуры признания документов об ученых степенях и ученых званиях, выданных уполномоченными органами государств-членов.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Отсутствие гармонизации требований к профессиональной подготовке водителей, подтверждения их профессиональной квалификации и иных требований, связанных с выдачей водительских удостоверений и их использованием для осуществления предпринимательской или трудовой деятельности.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Неурегулированность вопроса взимания вывозных таможенных пошлин при вывозе товаров, происходящих из государства-члена и облагаемых в этом государстве-члене вывозными таможенными пошлинами, с территории другого государства-члена.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Отсутствие условий для осуществления межгосударственного информационного взаимодействия между хозяйствующими субъектами государств-членов (физическими и юридическими лицами) в рамках Союза, предусматривающего использование имеющих юридическую силу электронных документов, заверенных национальной электронной цифровой подписью (электронной подписью).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Отсутствие       в рамках Союза согласованного правового регулирования в сфере обращения сильнодействующих веществ.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Отсутствие в рамках Союза согласованного правового регулирования в сфере обращения культурных ценностей.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Отсутствие законодательных основ для взаимодействия уполномоченных органов государств-членов при осуществлении ими контрольных и надзорных мероприятий за соблюдением требований технических регламентов Союза, а также для рассмотрения и урегулирования спорных вопросов, возникающих между государствами-членами по итогам проведения контрольных и надзорных мероприятий за соблюдением требований технических регламентов Союза.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Отсутствие общих принципов и подходов к установлению сходного (сопоставимого) законодательства государств-членов в части установления ответственности за нарушение обязательных требований к продукции, правил и процедур проведения обязательной оценки соответствия.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Отсутствие достаточного обеспечения исполнения обязательных требований, установленных в технических регламентах Союза, межгосударственными и национальными (государственными) стандартами, а также методиками исследований (испытаний) и измерений в связи с их неактуальностью и (или) отсутствием.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Недостаточность гармонизации законодательства государств- членов в области аккредитации, в том числе отсутствие взаимных сравнительных оценок, необходимых для достижения равнозначности применяемых процедур, а также процедур разрешения споров и претензий между государствами-членами в области аккредитации.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Отсутствие единых обязательных требований в отношении отдельных видов продукции, включенной в Единый перечень продукции, в отношении которой устанавливаются обязательные требования в рамках Таможенного союза,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28 января 2011 г. № 526.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Неурегулированность вопроса организации взаимодействия по выданным заключениям (разрешительным документам) между уполномоченными органами государств-членов в случаях, когда вывоз товаров осуществляется с территории государства-члена, не являющегося государством, с территории которого они происходят.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Несовершенство порядка установления государствами-членами изъятий из национального режима в сфере государственных (муниципальных) закупок.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Отсутствие возможности использования банковских гарантий, выданных банками-резидентами одного государства-члена, в качестве обеспечения заявки на участие в государственных (муниципальных) закупках и обеспечения исполнения контракта (договора) при проведении государственных (муниципальных) закупок заказчиками другого государства-члена.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