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2ef0" w14:textId="af62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изъятий и ограничений на внутреннем рынке Евразийского экономического союза, подлежащих устранению в 2021 - 2022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20 августа 2021 года № 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изъятий и ограничений на внутреннем рынке Евразийского экономического союза, подлежащих устранению в 2021 - 2022 годах (далее - перечень).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Евразийской экономической комиссии (далее - Комиссия) совместно с государствами - членами Евразийского экономического союза до 1 октября 2021 г. подготовить проект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("дорожной карты") по устранению изъятий и ограничений на внутреннем рынке Евразийского экономического союза на 2021 - 2022 годы в соответствии с перечнем и представить его для рассмотрения Советом Комиссии.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Правительствам государств - членов Евразийского экономического союза до 15 сентября 2021 г. представить в Комиссию предложения о мероприятиях, направленных на устранение изъятий и ограничений в соответствии с перечнем, для включения их в план мероприятий,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распоряжения.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Комиссии доложить на заседании Евразийского межправительственного совета в IV квартале 2021 г. о ходе реализации настоящего распоряжения и работе по дополнению перечня.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распоряжения,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25 октября 2017 г. № 17 "О плане мероприятий ("дорожной карте") по устранению изъятий и ограничений на внутреннем рынке Евразийского экономического союза на 2018 - 2019 годы".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Члену Коллегии (Министру) по внутренним рынкам, информатизации, информационно-коммуникационным технологиям Комиссии обеспечить мониторинг устранения изъятий и ограничений, включенных в перечень.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Евразийского межправительственного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г. № 11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изъятий и ограничений на внутреннем рынке Евразийского экономического союза, подлежащих устранению в 2021 - 2022 годах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Необходимость прохождения трудящимися государств - членов Евразийского экономического союза (далее соответственно - государства-члены, Союз) установленной законодательством государств-членов процедуры признания документов об ученых степенях и ученых званиях, выданных уполномоченными органами государств-членов.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Отсутствие гармонизации требований к профессиональной подготовке водителей, подтверждения их профессиональной квалификации и иных требований, связанных с выдачей водительских удостоверений и их использованием для осуществления предпринимательской или трудовой деятельности.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Неурегулированность вопроса взимания вывозных таможенных пошлин при вывозе товаров, происходящих из государства-члена и облагаемых в этом государстве-члене вывозными таможенными пошлинами, с территории другого государства-члена.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Отсутствие условий для осуществления межгосударственного информационного взаимодействия между хозяйствующими субъектами государств-членов (физическими и юридическими лицами) в рамках Союза, предусматривающего использование имеющих юридическую силу электронных документов, заверенных национальной электронной цифровой подписью (электронной подписью).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Отсутствие       в рамках Союза согласованного правового регулирования в сфере обращения сильнодействующих веществ.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Отсутствие в рамках Союза согласованного правового регулирования в сфере обращения культурных ценностей.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Отсутствие законодательных основ для взаимодействия уполномоченных органов государств-членов при осуществлении ими контрольных и надзорных мероприятий за соблюдением требований технических регламентов Союза, а также для рассмотрения и урегулирования спорных вопросов, возникающих между государствами-членами по итогам проведения контрольных и надзорных мероприятий за соблюдением требований технических регламентов Союза.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Отсутствие общих принципов и подходов к установлению сходного (сопоставимого) законодательства государств-членов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Отсутствие достаточного обеспечения исполнения обязательных требований, установленных в технических регламентах Союза, межгосударственными и национальными (государственными) стандартами, а также методиками исследований (испытаний) и измерений в связи с их неактуальностью и (или) отсутствием.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Недостаточность гармонизации законодательства государств- членов в области аккредитации, в том числе отсутствие взаимных сравнительных оценок, необходимых для достижения равнозначности применяемых процедур, а также процедур разрешения споров и претензий между государствами-членами в области аккредитации.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Отсутствие единых обязательных требований в отношении отдельных видов продукции, включенной в Единый перечень продукции, в отношении которой устанавливаются обязательные требования в рамках Таможенного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 526.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Неурегулированность вопроса организации взаимодействия по выданным заключениям (разрешительным документам) между уполномоченными органами государств-членов в случаях, когда вывоз товаров осуществляется с территории государства-члена, не являющегося государством, с территории которого они происходят.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Несовершенство порядка установления государствами-членами изъятий из национального режима в сфере государственных (муниципальных) закупок.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Отсутствие возможности использования банковских гарантий, выданных банками-резидентами одного государства-члена, в качестве обеспечения заявки на участие в государственных (муниципальных) закупках и обеспечения исполнения контракта (договора) при проведении государственных (муниципальных) закупок заказчиками другого государства-члена.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