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99e" w14:textId="c466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2020 году: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продолжить работу по совершенствованию процедуры проведения оценки регулирующего воздействия проектов решений Евразийской экономической комиссии и внедрению механизма оценки фактического воздействия принятых решений Евразийской экономической комиссии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9.1.6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