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d125" w14:textId="18cd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трансферу технологий и (или) аналитических методик при производстве лекарственных средств</w:t>
      </w:r>
    </w:p>
    <w:p>
      <w:pPr>
        <w:spacing w:after="0"/>
        <w:ind w:left="0"/>
        <w:jc w:val="both"/>
      </w:pPr>
      <w:r>
        <w:rPr>
          <w:rFonts w:ascii="Times New Roman"/>
          <w:b w:val="false"/>
          <w:i w:val="false"/>
          <w:color w:val="000000"/>
          <w:sz w:val="28"/>
        </w:rPr>
        <w:t>Рекомендация Коллегии Евразийской экономической комиссии от 8 июня 2021 года № 11.</w:t>
      </w:r>
    </w:p>
    <w:p>
      <w:pPr>
        <w:spacing w:after="0"/>
        <w:ind w:left="0"/>
        <w:jc w:val="left"/>
      </w:pPr>
    </w:p>
    <w:bookmarkStart w:name="z4" w:id="0"/>
    <w:p>
      <w:pPr>
        <w:spacing w:after="0"/>
        <w:ind w:left="0"/>
        <w:jc w:val="both"/>
      </w:pPr>
      <w:r>
        <w:rPr>
          <w:rFonts w:ascii="Times New Roman"/>
          <w:b w:val="false"/>
          <w:i w:val="false"/>
          <w:color w:val="000000"/>
          <w:sz w:val="28"/>
        </w:rPr>
        <w:t>
      Коллегия Евразийской экономической комиссии в соответствии со статьей 30 Договора о Евразийском экономическом союзе от 29 мая 2014 года, пунктом 3 статьи 3, подпунктом "в" пункта 2 статьи 4 и статьей 9 Соглашения о единых принципах и правилах обращения лекарственных средств в рамках Евразийского экономического союза от 23 декабря 2014 года, а также в целях гармонизации требований к трансферу технологий и (или) аналитических методик при производстве лекарственных средств, установленных законодательством государств – членов Евразийского экономического союза,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применять Руководство по трансферу технологий и (или) аналитических методик при производстве лекарственных средств согласно </w:t>
      </w:r>
      <w:r>
        <w:rPr>
          <w:rFonts w:ascii="Times New Roman"/>
          <w:b w:val="false"/>
          <w:i w:val="false"/>
          <w:color w:val="000000"/>
          <w:sz w:val="28"/>
        </w:rPr>
        <w:t>приложению</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8 июня 2021 г. № 11</w:t>
            </w:r>
          </w:p>
        </w:tc>
      </w:tr>
    </w:tbl>
    <w:bookmarkStart w:name="z8" w:id="1"/>
    <w:p>
      <w:pPr>
        <w:spacing w:after="0"/>
        <w:ind w:left="0"/>
        <w:jc w:val="left"/>
      </w:pPr>
      <w:r>
        <w:rPr>
          <w:rFonts w:ascii="Times New Roman"/>
          <w:b/>
          <w:i w:val="false"/>
          <w:color w:val="000000"/>
        </w:rPr>
        <w:t xml:space="preserve"> РУКОВОДСТВО</w:t>
      </w:r>
      <w:r>
        <w:br/>
      </w:r>
      <w:r>
        <w:rPr>
          <w:rFonts w:ascii="Times New Roman"/>
          <w:b/>
          <w:i w:val="false"/>
          <w:color w:val="000000"/>
        </w:rPr>
        <w:t>по трансферу технологий и (или) аналитических методик при производстве лекарственных средств</w:t>
      </w:r>
    </w:p>
    <w:bookmarkEnd w:id="1"/>
    <w:bookmarkStart w:name="z9" w:id="2"/>
    <w:p>
      <w:pPr>
        <w:spacing w:after="0"/>
        <w:ind w:left="0"/>
        <w:jc w:val="left"/>
      </w:pPr>
      <w:r>
        <w:rPr>
          <w:rFonts w:ascii="Times New Roman"/>
          <w:b/>
          <w:i w:val="false"/>
          <w:color w:val="000000"/>
        </w:rPr>
        <w:t xml:space="preserve"> I. Общие положения</w:t>
      </w:r>
    </w:p>
    <w:bookmarkEnd w:id="2"/>
    <w:bookmarkStart w:name="z10" w:id="3"/>
    <w:p>
      <w:pPr>
        <w:spacing w:after="0"/>
        <w:ind w:left="0"/>
        <w:jc w:val="both"/>
      </w:pPr>
      <w:r>
        <w:rPr>
          <w:rFonts w:ascii="Times New Roman"/>
          <w:b w:val="false"/>
          <w:i w:val="false"/>
          <w:color w:val="000000"/>
          <w:sz w:val="28"/>
        </w:rPr>
        <w:t xml:space="preserve">
      1. Настоящее Руководство содержит указания для производителей лекарственных средств, аккредитованных испытательных лабораторий, фармацевтических инспекторатов и уполномоченных органов (экспертных организаций) государств – членов Евразийского экономического союза (далее – государства-члены, Союз) в отношении действий необходимых для проведения успешного трансфера технологий и (или) аналитических методик (далее – трансфер) между структурными подразделениями в рамках одной производственной площадки, или несколькими производственными площадками, или аккредитованными испытательными лабораториями. </w:t>
      </w:r>
    </w:p>
    <w:bookmarkEnd w:id="3"/>
    <w:bookmarkStart w:name="z11" w:id="4"/>
    <w:p>
      <w:pPr>
        <w:spacing w:after="0"/>
        <w:ind w:left="0"/>
        <w:jc w:val="both"/>
      </w:pPr>
      <w:r>
        <w:rPr>
          <w:rFonts w:ascii="Times New Roman"/>
          <w:b w:val="false"/>
          <w:i w:val="false"/>
          <w:color w:val="000000"/>
          <w:sz w:val="28"/>
        </w:rPr>
        <w:t xml:space="preserve">
      2. Настоящее Руководство разработано с учетом требований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надлежащей производственной практики). </w:t>
      </w:r>
    </w:p>
    <w:bookmarkEnd w:id="4"/>
    <w:bookmarkStart w:name="z12" w:id="5"/>
    <w:p>
      <w:pPr>
        <w:spacing w:after="0"/>
        <w:ind w:left="0"/>
        <w:jc w:val="both"/>
      </w:pPr>
      <w:r>
        <w:rPr>
          <w:rFonts w:ascii="Times New Roman"/>
          <w:b w:val="false"/>
          <w:i w:val="false"/>
          <w:color w:val="000000"/>
          <w:sz w:val="28"/>
        </w:rPr>
        <w:t xml:space="preserve">
      3. Целью трансфера является передача информации о лекарственном средстве, процессе его производства и контроле качества лекарственного препарата или процесса его производства в пределах одной производственной площадки или между производственными площадками, в том числе при передаче фармацевтической разработки в производство, для выпуска промышленных серий лекарственного средства, а также передача аналитических методик с производственной площадки в аккредитованную испытательную лабораторию. На основании указанной информации определяются параметры процесса производства, стратегия контроля качества лекарственного препарата и процесса его производства, подход к валидации процесса производства и непрерывного его улучшения. </w:t>
      </w:r>
    </w:p>
    <w:bookmarkEnd w:id="5"/>
    <w:bookmarkStart w:name="z13" w:id="6"/>
    <w:p>
      <w:pPr>
        <w:spacing w:after="0"/>
        <w:ind w:left="0"/>
        <w:jc w:val="both"/>
      </w:pPr>
      <w:r>
        <w:rPr>
          <w:rFonts w:ascii="Times New Roman"/>
          <w:b w:val="false"/>
          <w:i w:val="false"/>
          <w:color w:val="000000"/>
          <w:sz w:val="28"/>
        </w:rPr>
        <w:t>
      4. Трансфер может быть осуществлен на любом этапе жизненного цикла лекарственных средств.</w:t>
      </w:r>
    </w:p>
    <w:bookmarkEnd w:id="6"/>
    <w:bookmarkStart w:name="z14" w:id="7"/>
    <w:p>
      <w:pPr>
        <w:spacing w:after="0"/>
        <w:ind w:left="0"/>
        <w:jc w:val="both"/>
      </w:pPr>
      <w:r>
        <w:rPr>
          <w:rFonts w:ascii="Times New Roman"/>
          <w:b w:val="false"/>
          <w:i w:val="false"/>
          <w:color w:val="000000"/>
          <w:sz w:val="28"/>
        </w:rPr>
        <w:t>
      5. Трансфер предусматривает передачу любого процесса вместе с соответствующей документацией и профессиональными экспертными знаниями от передающей стороны к принимающей стороне. Трансфер является систематизированной процедурой, которая выполняется с целью передачи принимающей стороне документально оформленной информации и опыта, полученных во время фармацевтической разработки и (или) выпуска лекарственных средств, в том числе передачи документации, информации о процессах производства, навыков и знаний от передающей стороны и практическое подтверждение способности принимающей стороны эффективно выполнять критические операции согласно передаваемой технологии в целях обеспечения прослеживаемости данного процесса для всех заинтересованных сторон и уполномоченных органов (экспертных организаций).</w:t>
      </w:r>
    </w:p>
    <w:bookmarkEnd w:id="7"/>
    <w:bookmarkStart w:name="z15" w:id="8"/>
    <w:p>
      <w:pPr>
        <w:spacing w:after="0"/>
        <w:ind w:left="0"/>
        <w:jc w:val="both"/>
      </w:pPr>
      <w:r>
        <w:rPr>
          <w:rFonts w:ascii="Times New Roman"/>
          <w:b w:val="false"/>
          <w:i w:val="false"/>
          <w:color w:val="000000"/>
          <w:sz w:val="28"/>
        </w:rPr>
        <w:t xml:space="preserve">
      6. Основные этапы трансфера: </w:t>
      </w:r>
    </w:p>
    <w:bookmarkEnd w:id="8"/>
    <w:bookmarkStart w:name="z16" w:id="9"/>
    <w:p>
      <w:pPr>
        <w:spacing w:after="0"/>
        <w:ind w:left="0"/>
        <w:jc w:val="both"/>
      </w:pPr>
      <w:r>
        <w:rPr>
          <w:rFonts w:ascii="Times New Roman"/>
          <w:b w:val="false"/>
          <w:i w:val="false"/>
          <w:color w:val="000000"/>
          <w:sz w:val="28"/>
        </w:rPr>
        <w:t>
      планирование, организация, управление;</w:t>
      </w:r>
    </w:p>
    <w:bookmarkEnd w:id="9"/>
    <w:bookmarkStart w:name="z17" w:id="10"/>
    <w:p>
      <w:pPr>
        <w:spacing w:after="0"/>
        <w:ind w:left="0"/>
        <w:jc w:val="both"/>
      </w:pPr>
      <w:r>
        <w:rPr>
          <w:rFonts w:ascii="Times New Roman"/>
          <w:b w:val="false"/>
          <w:i w:val="false"/>
          <w:color w:val="000000"/>
          <w:sz w:val="28"/>
        </w:rPr>
        <w:t>
      определение критериев успешности трансфера;</w:t>
      </w:r>
    </w:p>
    <w:bookmarkEnd w:id="10"/>
    <w:bookmarkStart w:name="z18" w:id="11"/>
    <w:p>
      <w:pPr>
        <w:spacing w:after="0"/>
        <w:ind w:left="0"/>
        <w:jc w:val="both"/>
      </w:pPr>
      <w:r>
        <w:rPr>
          <w:rFonts w:ascii="Times New Roman"/>
          <w:b w:val="false"/>
          <w:i w:val="false"/>
          <w:color w:val="000000"/>
          <w:sz w:val="28"/>
        </w:rPr>
        <w:t>
      формирование группы (команды) проекта;</w:t>
      </w:r>
    </w:p>
    <w:bookmarkEnd w:id="11"/>
    <w:bookmarkStart w:name="z19" w:id="12"/>
    <w:p>
      <w:pPr>
        <w:spacing w:after="0"/>
        <w:ind w:left="0"/>
        <w:jc w:val="both"/>
      </w:pPr>
      <w:r>
        <w:rPr>
          <w:rFonts w:ascii="Times New Roman"/>
          <w:b w:val="false"/>
          <w:i w:val="false"/>
          <w:color w:val="000000"/>
          <w:sz w:val="28"/>
        </w:rPr>
        <w:t>
      консолидация знаний, анализ расхождений;</w:t>
      </w:r>
    </w:p>
    <w:bookmarkEnd w:id="12"/>
    <w:bookmarkStart w:name="z20" w:id="13"/>
    <w:p>
      <w:pPr>
        <w:spacing w:after="0"/>
        <w:ind w:left="0"/>
        <w:jc w:val="both"/>
      </w:pPr>
      <w:r>
        <w:rPr>
          <w:rFonts w:ascii="Times New Roman"/>
          <w:b w:val="false"/>
          <w:i w:val="false"/>
          <w:color w:val="000000"/>
          <w:sz w:val="28"/>
        </w:rPr>
        <w:t>
      определение ключевых навыков и обучение персонала (при необходимости);</w:t>
      </w:r>
    </w:p>
    <w:bookmarkEnd w:id="13"/>
    <w:bookmarkStart w:name="z21" w:id="14"/>
    <w:p>
      <w:pPr>
        <w:spacing w:after="0"/>
        <w:ind w:left="0"/>
        <w:jc w:val="both"/>
      </w:pPr>
      <w:r>
        <w:rPr>
          <w:rFonts w:ascii="Times New Roman"/>
          <w:b w:val="false"/>
          <w:i w:val="false"/>
          <w:color w:val="000000"/>
          <w:sz w:val="28"/>
        </w:rPr>
        <w:t>
      проведение анализа и оценки рисков;</w:t>
      </w:r>
    </w:p>
    <w:bookmarkEnd w:id="14"/>
    <w:bookmarkStart w:name="z22" w:id="15"/>
    <w:p>
      <w:pPr>
        <w:spacing w:after="0"/>
        <w:ind w:left="0"/>
        <w:jc w:val="both"/>
      </w:pPr>
      <w:r>
        <w:rPr>
          <w:rFonts w:ascii="Times New Roman"/>
          <w:b w:val="false"/>
          <w:i w:val="false"/>
          <w:color w:val="000000"/>
          <w:sz w:val="28"/>
        </w:rPr>
        <w:t>
      разработка протокола трансфера;</w:t>
      </w:r>
    </w:p>
    <w:bookmarkEnd w:id="15"/>
    <w:bookmarkStart w:name="z23" w:id="16"/>
    <w:p>
      <w:pPr>
        <w:spacing w:after="0"/>
        <w:ind w:left="0"/>
        <w:jc w:val="both"/>
      </w:pPr>
      <w:r>
        <w:rPr>
          <w:rFonts w:ascii="Times New Roman"/>
          <w:b w:val="false"/>
          <w:i w:val="false"/>
          <w:color w:val="000000"/>
          <w:sz w:val="28"/>
        </w:rPr>
        <w:t>
      квалификация производственных помещений, оборудования, инженерных систем (при необходимости);</w:t>
      </w:r>
    </w:p>
    <w:bookmarkEnd w:id="16"/>
    <w:bookmarkStart w:name="z24" w:id="17"/>
    <w:p>
      <w:pPr>
        <w:spacing w:after="0"/>
        <w:ind w:left="0"/>
        <w:jc w:val="both"/>
      </w:pPr>
      <w:r>
        <w:rPr>
          <w:rFonts w:ascii="Times New Roman"/>
          <w:b w:val="false"/>
          <w:i w:val="false"/>
          <w:color w:val="000000"/>
          <w:sz w:val="28"/>
        </w:rPr>
        <w:t xml:space="preserve">
      передача аналитических методик в рамках трансфера технологий или в качестве самостоятельного процесса (при необходимости); </w:t>
      </w:r>
    </w:p>
    <w:bookmarkEnd w:id="17"/>
    <w:bookmarkStart w:name="z25" w:id="18"/>
    <w:p>
      <w:pPr>
        <w:spacing w:after="0"/>
        <w:ind w:left="0"/>
        <w:jc w:val="both"/>
      </w:pPr>
      <w:r>
        <w:rPr>
          <w:rFonts w:ascii="Times New Roman"/>
          <w:b w:val="false"/>
          <w:i w:val="false"/>
          <w:color w:val="000000"/>
          <w:sz w:val="28"/>
        </w:rPr>
        <w:t>
      производство опытно-промышленных (пилотных) и (или) инженерных серий;</w:t>
      </w:r>
    </w:p>
    <w:bookmarkEnd w:id="18"/>
    <w:bookmarkStart w:name="z26" w:id="19"/>
    <w:p>
      <w:pPr>
        <w:spacing w:after="0"/>
        <w:ind w:left="0"/>
        <w:jc w:val="both"/>
      </w:pPr>
      <w:r>
        <w:rPr>
          <w:rFonts w:ascii="Times New Roman"/>
          <w:b w:val="false"/>
          <w:i w:val="false"/>
          <w:color w:val="000000"/>
          <w:sz w:val="28"/>
        </w:rPr>
        <w:t>
      валидация процесса, валидация очистки;</w:t>
      </w:r>
    </w:p>
    <w:bookmarkEnd w:id="19"/>
    <w:bookmarkStart w:name="z27" w:id="20"/>
    <w:p>
      <w:pPr>
        <w:spacing w:after="0"/>
        <w:ind w:left="0"/>
        <w:jc w:val="both"/>
      </w:pPr>
      <w:r>
        <w:rPr>
          <w:rFonts w:ascii="Times New Roman"/>
          <w:b w:val="false"/>
          <w:i w:val="false"/>
          <w:color w:val="000000"/>
          <w:sz w:val="28"/>
        </w:rPr>
        <w:t>
      оформление результатов и оценка эффективности трансфера на основе достижения установленных критериев успешности.</w:t>
      </w:r>
    </w:p>
    <w:bookmarkEnd w:id="20"/>
    <w:bookmarkStart w:name="z28" w:id="21"/>
    <w:p>
      <w:pPr>
        <w:spacing w:after="0"/>
        <w:ind w:left="0"/>
        <w:jc w:val="both"/>
      </w:pPr>
      <w:r>
        <w:rPr>
          <w:rFonts w:ascii="Times New Roman"/>
          <w:b w:val="false"/>
          <w:i w:val="false"/>
          <w:color w:val="000000"/>
          <w:sz w:val="28"/>
        </w:rPr>
        <w:t>
      Не все указанные этапы трансфера применимы к каждому виду трансфера. Производители могут выбирать те этапы, которые применимы к осуществляемой процедуре.</w:t>
      </w:r>
    </w:p>
    <w:bookmarkEnd w:id="21"/>
    <w:bookmarkStart w:name="z29" w:id="22"/>
    <w:p>
      <w:pPr>
        <w:spacing w:after="0"/>
        <w:ind w:left="0"/>
        <w:jc w:val="both"/>
      </w:pPr>
      <w:r>
        <w:rPr>
          <w:rFonts w:ascii="Times New Roman"/>
          <w:b w:val="false"/>
          <w:i w:val="false"/>
          <w:color w:val="000000"/>
          <w:sz w:val="28"/>
        </w:rPr>
        <w:t>
      7. Трансфер может происходить в следующих случаях:</w:t>
      </w:r>
    </w:p>
    <w:bookmarkEnd w:id="22"/>
    <w:bookmarkStart w:name="z30" w:id="23"/>
    <w:p>
      <w:pPr>
        <w:spacing w:after="0"/>
        <w:ind w:left="0"/>
        <w:jc w:val="both"/>
      </w:pPr>
      <w:r>
        <w:rPr>
          <w:rFonts w:ascii="Times New Roman"/>
          <w:b w:val="false"/>
          <w:i w:val="false"/>
          <w:color w:val="000000"/>
          <w:sz w:val="28"/>
        </w:rPr>
        <w:t>
      а) новое лекарственное средство передается с участка разработки в опытно-промышленное производство или непосредственно на производственный участок;</w:t>
      </w:r>
    </w:p>
    <w:bookmarkEnd w:id="23"/>
    <w:bookmarkStart w:name="z31" w:id="24"/>
    <w:p>
      <w:pPr>
        <w:spacing w:after="0"/>
        <w:ind w:left="0"/>
        <w:jc w:val="both"/>
      </w:pPr>
      <w:r>
        <w:rPr>
          <w:rFonts w:ascii="Times New Roman"/>
          <w:b w:val="false"/>
          <w:i w:val="false"/>
          <w:color w:val="000000"/>
          <w:sz w:val="28"/>
        </w:rPr>
        <w:t>
      б) лекарственное средство передается с одного производственного участка на другой в пределах одной производственной площадки или с одной производственной площадки на другие производственные площадки одного производителя;</w:t>
      </w:r>
    </w:p>
    <w:bookmarkEnd w:id="24"/>
    <w:bookmarkStart w:name="z32" w:id="25"/>
    <w:p>
      <w:pPr>
        <w:spacing w:after="0"/>
        <w:ind w:left="0"/>
        <w:jc w:val="both"/>
      </w:pPr>
      <w:r>
        <w:rPr>
          <w:rFonts w:ascii="Times New Roman"/>
          <w:b w:val="false"/>
          <w:i w:val="false"/>
          <w:color w:val="000000"/>
          <w:sz w:val="28"/>
        </w:rPr>
        <w:t>
      в) лекарственное средство передается между производственными площадками разных производителей, в том числе в рамках межгосударственного трансфера;</w:t>
      </w:r>
    </w:p>
    <w:bookmarkEnd w:id="25"/>
    <w:bookmarkStart w:name="z33" w:id="26"/>
    <w:p>
      <w:pPr>
        <w:spacing w:after="0"/>
        <w:ind w:left="0"/>
        <w:jc w:val="both"/>
      </w:pPr>
      <w:r>
        <w:rPr>
          <w:rFonts w:ascii="Times New Roman"/>
          <w:b w:val="false"/>
          <w:i w:val="false"/>
          <w:color w:val="000000"/>
          <w:sz w:val="28"/>
        </w:rPr>
        <w:t>
      г) аналитическая методика передается от производителя аккредитованной испытательной лаборатории.</w:t>
      </w:r>
    </w:p>
    <w:bookmarkEnd w:id="26"/>
    <w:bookmarkStart w:name="z34" w:id="27"/>
    <w:p>
      <w:pPr>
        <w:spacing w:after="0"/>
        <w:ind w:left="0"/>
        <w:jc w:val="both"/>
      </w:pPr>
      <w:r>
        <w:rPr>
          <w:rFonts w:ascii="Times New Roman"/>
          <w:b w:val="false"/>
          <w:i w:val="false"/>
          <w:color w:val="000000"/>
          <w:sz w:val="28"/>
        </w:rPr>
        <w:t>
      8. При проведении трансфера применяется документально оформленный, спланированный подход, предусматривающий документирование данных относящихся ко всем аспектам разработки, производства и контроля качества лекарственного средства и соблюдение принципов целостности данных. Трансфер проводится с участием обученного и квалифицированного персонала, работающего в рамках системы качества.</w:t>
      </w:r>
    </w:p>
    <w:bookmarkEnd w:id="27"/>
    <w:bookmarkStart w:name="z35" w:id="28"/>
    <w:p>
      <w:pPr>
        <w:spacing w:after="0"/>
        <w:ind w:left="0"/>
        <w:jc w:val="both"/>
      </w:pPr>
      <w:r>
        <w:rPr>
          <w:rFonts w:ascii="Times New Roman"/>
          <w:b w:val="false"/>
          <w:i w:val="false"/>
          <w:color w:val="000000"/>
          <w:sz w:val="28"/>
        </w:rPr>
        <w:t xml:space="preserve">
      9. Основными участниками трансфера являются передающая и принимающая сторона. При необходимости дополнительно определяется координирующая (управляющая) сторона, которая может быть самостоятельным лицом (администратор процесса). В отношении трансфера производства по контракту, необходимо руководствоваться Правилами надлежащей производственной практики. </w:t>
      </w:r>
    </w:p>
    <w:bookmarkEnd w:id="28"/>
    <w:bookmarkStart w:name="z36" w:id="29"/>
    <w:p>
      <w:pPr>
        <w:spacing w:after="0"/>
        <w:ind w:left="0"/>
        <w:jc w:val="both"/>
      </w:pPr>
      <w:r>
        <w:rPr>
          <w:rFonts w:ascii="Times New Roman"/>
          <w:b w:val="false"/>
          <w:i w:val="false"/>
          <w:color w:val="000000"/>
          <w:sz w:val="28"/>
        </w:rPr>
        <w:t xml:space="preserve">
      10. Для успешного трансфера должны выполняться следующие требования: </w:t>
      </w:r>
    </w:p>
    <w:bookmarkEnd w:id="29"/>
    <w:bookmarkStart w:name="z37" w:id="30"/>
    <w:p>
      <w:pPr>
        <w:spacing w:after="0"/>
        <w:ind w:left="0"/>
        <w:jc w:val="both"/>
      </w:pPr>
      <w:r>
        <w:rPr>
          <w:rFonts w:ascii="Times New Roman"/>
          <w:b w:val="false"/>
          <w:i w:val="false"/>
          <w:color w:val="000000"/>
          <w:sz w:val="28"/>
        </w:rPr>
        <w:t>
      а) при осуществлении трансфера должны контролироваться все аспекты качества в отношении производства лекарственных средств;</w:t>
      </w:r>
    </w:p>
    <w:bookmarkEnd w:id="30"/>
    <w:bookmarkStart w:name="z38" w:id="31"/>
    <w:p>
      <w:pPr>
        <w:spacing w:after="0"/>
        <w:ind w:left="0"/>
        <w:jc w:val="both"/>
      </w:pPr>
      <w:r>
        <w:rPr>
          <w:rFonts w:ascii="Times New Roman"/>
          <w:b w:val="false"/>
          <w:i w:val="false"/>
          <w:color w:val="000000"/>
          <w:sz w:val="28"/>
        </w:rPr>
        <w:t>
      б) трансфер должен быть основан на принципах управления рисками для качества;</w:t>
      </w:r>
    </w:p>
    <w:bookmarkEnd w:id="31"/>
    <w:bookmarkStart w:name="z39" w:id="32"/>
    <w:p>
      <w:pPr>
        <w:spacing w:after="0"/>
        <w:ind w:left="0"/>
        <w:jc w:val="both"/>
      </w:pPr>
      <w:r>
        <w:rPr>
          <w:rFonts w:ascii="Times New Roman"/>
          <w:b w:val="false"/>
          <w:i w:val="false"/>
          <w:color w:val="000000"/>
          <w:sz w:val="28"/>
        </w:rPr>
        <w:t>
      в) возможности передающей и принимающей сторон должны быть аналогичными, но не обязательно идентичными, а помещения и оборудование должны эксплуатироваться в соответствии с одинаковыми принципами работы;</w:t>
      </w:r>
    </w:p>
    <w:bookmarkEnd w:id="32"/>
    <w:bookmarkStart w:name="z40" w:id="33"/>
    <w:p>
      <w:pPr>
        <w:spacing w:after="0"/>
        <w:ind w:left="0"/>
        <w:jc w:val="both"/>
      </w:pPr>
      <w:r>
        <w:rPr>
          <w:rFonts w:ascii="Times New Roman"/>
          <w:b w:val="false"/>
          <w:i w:val="false"/>
          <w:color w:val="000000"/>
          <w:sz w:val="28"/>
        </w:rPr>
        <w:t>
      г) комплексный анализ расхождений между передающей и принимающей сторонами должен включать в себя оценку технических рисков и потенциальных расхождений с требованиями нормативных документов;</w:t>
      </w:r>
    </w:p>
    <w:bookmarkEnd w:id="33"/>
    <w:bookmarkStart w:name="z41" w:id="34"/>
    <w:p>
      <w:pPr>
        <w:spacing w:after="0"/>
        <w:ind w:left="0"/>
        <w:jc w:val="both"/>
      </w:pPr>
      <w:r>
        <w:rPr>
          <w:rFonts w:ascii="Times New Roman"/>
          <w:b w:val="false"/>
          <w:i w:val="false"/>
          <w:color w:val="000000"/>
          <w:sz w:val="28"/>
        </w:rPr>
        <w:t>
      д) персонал принимающей стороны должен быть надлежащим образом подготовлен, квалифицирован, пройти обучение на площадке передающей и (или) принимающей стороны, в соответствии с планом трансфера;</w:t>
      </w:r>
    </w:p>
    <w:bookmarkEnd w:id="34"/>
    <w:bookmarkStart w:name="z42" w:id="35"/>
    <w:p>
      <w:pPr>
        <w:spacing w:after="0"/>
        <w:ind w:left="0"/>
        <w:jc w:val="both"/>
      </w:pPr>
      <w:r>
        <w:rPr>
          <w:rFonts w:ascii="Times New Roman"/>
          <w:b w:val="false"/>
          <w:i w:val="false"/>
          <w:color w:val="000000"/>
          <w:sz w:val="28"/>
        </w:rPr>
        <w:t>
      е) в течение всей процедуры трансфера следует учитывать и единообразно истолковывать нормативные требования уполномоченных органов государств, в которых находятся передающая и принимающая стороны, а также уполномоченных органов третьих стран, в которые планируется поставлять лекарственное средство;</w:t>
      </w:r>
    </w:p>
    <w:bookmarkEnd w:id="35"/>
    <w:bookmarkStart w:name="z43" w:id="36"/>
    <w:p>
      <w:pPr>
        <w:spacing w:after="0"/>
        <w:ind w:left="0"/>
        <w:jc w:val="both"/>
      </w:pPr>
      <w:r>
        <w:rPr>
          <w:rFonts w:ascii="Times New Roman"/>
          <w:b w:val="false"/>
          <w:i w:val="false"/>
          <w:color w:val="000000"/>
          <w:sz w:val="28"/>
        </w:rPr>
        <w:t>
      ж) следует проводить эффективный трансфер процессов, навыков и знаний о лекарственном средстве.</w:t>
      </w:r>
    </w:p>
    <w:bookmarkEnd w:id="36"/>
    <w:bookmarkStart w:name="z44" w:id="37"/>
    <w:p>
      <w:pPr>
        <w:spacing w:after="0"/>
        <w:ind w:left="0"/>
        <w:jc w:val="both"/>
      </w:pPr>
      <w:r>
        <w:rPr>
          <w:rFonts w:ascii="Times New Roman"/>
          <w:b w:val="false"/>
          <w:i w:val="false"/>
          <w:color w:val="000000"/>
          <w:sz w:val="28"/>
        </w:rPr>
        <w:t>
      11. Проекты по трансферу (особенно, проекты между разными юридическими лицами) имеют юридически значимые и экономические последствия. Вопросы, которые могут каким-либо образом связаны с раскрытием технических сведений одной стороны трансфера другой стороне (в том числе связанные с правами на интеллектуальную собственность, авторскими правами, ценообразованием, конфликтом интересов и конфиденциальностью) следует урегулировать до начала и во время планирования и осуществления трансфера.</w:t>
      </w:r>
    </w:p>
    <w:bookmarkEnd w:id="37"/>
    <w:bookmarkStart w:name="z45" w:id="38"/>
    <w:p>
      <w:pPr>
        <w:spacing w:after="0"/>
        <w:ind w:left="0"/>
        <w:jc w:val="both"/>
      </w:pPr>
      <w:r>
        <w:rPr>
          <w:rFonts w:ascii="Times New Roman"/>
          <w:b w:val="false"/>
          <w:i w:val="false"/>
          <w:color w:val="000000"/>
          <w:sz w:val="28"/>
        </w:rPr>
        <w:t>
      12. Отсутствие прозрачности при трансфере может привести к его неэффективности.</w:t>
      </w:r>
    </w:p>
    <w:bookmarkEnd w:id="38"/>
    <w:bookmarkStart w:name="z46" w:id="39"/>
    <w:p>
      <w:pPr>
        <w:spacing w:after="0"/>
        <w:ind w:left="0"/>
        <w:jc w:val="both"/>
      </w:pPr>
      <w:r>
        <w:rPr>
          <w:rFonts w:ascii="Times New Roman"/>
          <w:b w:val="false"/>
          <w:i w:val="false"/>
          <w:color w:val="000000"/>
          <w:sz w:val="28"/>
        </w:rPr>
        <w:t>
      13. Некоторые принципы, изложенные в настоящем Руководстве, могут быть применимы к трансферу производства лекарственных препаратов для клинических исследований (в качестве компонента исследований и разработок).</w:t>
      </w:r>
    </w:p>
    <w:bookmarkEnd w:id="39"/>
    <w:bookmarkStart w:name="z47" w:id="40"/>
    <w:p>
      <w:pPr>
        <w:spacing w:after="0"/>
        <w:ind w:left="0"/>
        <w:jc w:val="left"/>
      </w:pPr>
      <w:r>
        <w:rPr>
          <w:rFonts w:ascii="Times New Roman"/>
          <w:b/>
          <w:i w:val="false"/>
          <w:color w:val="000000"/>
        </w:rPr>
        <w:t xml:space="preserve"> II. Область применения</w:t>
      </w:r>
    </w:p>
    <w:bookmarkEnd w:id="40"/>
    <w:bookmarkStart w:name="z48" w:id="41"/>
    <w:p>
      <w:pPr>
        <w:spacing w:after="0"/>
        <w:ind w:left="0"/>
        <w:jc w:val="both"/>
      </w:pPr>
      <w:r>
        <w:rPr>
          <w:rFonts w:ascii="Times New Roman"/>
          <w:b w:val="false"/>
          <w:i w:val="false"/>
          <w:color w:val="000000"/>
          <w:sz w:val="28"/>
        </w:rPr>
        <w:t xml:space="preserve">
      14. Настоящее Руководство содержит указания по производству активных фармацевтических субстанций, нерасфасованной продукции, промежуточной продукции, производству и упаковке готовой продукции (далее – лекарственное средство) и (или) проведению аналитических испытаний лекарственных средств. </w:t>
      </w:r>
    </w:p>
    <w:bookmarkEnd w:id="41"/>
    <w:bookmarkStart w:name="z49" w:id="42"/>
    <w:p>
      <w:pPr>
        <w:spacing w:after="0"/>
        <w:ind w:left="0"/>
        <w:jc w:val="both"/>
      </w:pPr>
      <w:r>
        <w:rPr>
          <w:rFonts w:ascii="Times New Roman"/>
          <w:b w:val="false"/>
          <w:i w:val="false"/>
          <w:color w:val="000000"/>
          <w:sz w:val="28"/>
        </w:rPr>
        <w:t xml:space="preserve">
      15. Положения настоящего Руководства применяются ко всем видам лекарственных форм, однако следует осуществлять их корректировку в каждом отдельном случае (например, используя принципы управления рисками для качества). Положения настоящего Руководства не отменяют необходимость тщательного контроля определенных стадий производства некоторых видов продукции (например, стерильной продукции, дозированных аэрозолей). </w:t>
      </w:r>
    </w:p>
    <w:bookmarkEnd w:id="42"/>
    <w:bookmarkStart w:name="z50" w:id="43"/>
    <w:p>
      <w:pPr>
        <w:spacing w:after="0"/>
        <w:ind w:left="0"/>
        <w:jc w:val="both"/>
      </w:pPr>
      <w:r>
        <w:rPr>
          <w:rFonts w:ascii="Times New Roman"/>
          <w:b w:val="false"/>
          <w:i w:val="false"/>
          <w:color w:val="000000"/>
          <w:sz w:val="28"/>
        </w:rPr>
        <w:t xml:space="preserve">
      16. Настоящее Руководство применяется передающей и принимающей сторонами в отношении: </w:t>
      </w:r>
    </w:p>
    <w:bookmarkEnd w:id="43"/>
    <w:bookmarkStart w:name="z51" w:id="44"/>
    <w:p>
      <w:pPr>
        <w:spacing w:after="0"/>
        <w:ind w:left="0"/>
        <w:jc w:val="both"/>
      </w:pPr>
      <w:r>
        <w:rPr>
          <w:rFonts w:ascii="Times New Roman"/>
          <w:b w:val="false"/>
          <w:i w:val="false"/>
          <w:color w:val="000000"/>
          <w:sz w:val="28"/>
        </w:rPr>
        <w:t>
      а) трансфера на этапах разработки и производства лекарственных средств (в рамках процессов производства, упаковки и очистки производственных линий);</w:t>
      </w:r>
    </w:p>
    <w:bookmarkEnd w:id="44"/>
    <w:bookmarkStart w:name="z52" w:id="45"/>
    <w:p>
      <w:pPr>
        <w:spacing w:after="0"/>
        <w:ind w:left="0"/>
        <w:jc w:val="both"/>
      </w:pPr>
      <w:r>
        <w:rPr>
          <w:rFonts w:ascii="Times New Roman"/>
          <w:b w:val="false"/>
          <w:i w:val="false"/>
          <w:color w:val="000000"/>
          <w:sz w:val="28"/>
        </w:rPr>
        <w:t>
      б) трансфера аналитических методик для обеспечения и контроля качества лекарственных средств;</w:t>
      </w:r>
    </w:p>
    <w:bookmarkEnd w:id="45"/>
    <w:bookmarkStart w:name="z53" w:id="46"/>
    <w:p>
      <w:pPr>
        <w:spacing w:after="0"/>
        <w:ind w:left="0"/>
        <w:jc w:val="both"/>
      </w:pPr>
      <w:r>
        <w:rPr>
          <w:rFonts w:ascii="Times New Roman"/>
          <w:b w:val="false"/>
          <w:i w:val="false"/>
          <w:color w:val="000000"/>
          <w:sz w:val="28"/>
        </w:rPr>
        <w:t>
      в) оценки умений и навыков персонала и его обучение;</w:t>
      </w:r>
    </w:p>
    <w:bookmarkEnd w:id="46"/>
    <w:bookmarkStart w:name="z54" w:id="47"/>
    <w:p>
      <w:pPr>
        <w:spacing w:after="0"/>
        <w:ind w:left="0"/>
        <w:jc w:val="both"/>
      </w:pPr>
      <w:r>
        <w:rPr>
          <w:rFonts w:ascii="Times New Roman"/>
          <w:b w:val="false"/>
          <w:i w:val="false"/>
          <w:color w:val="000000"/>
          <w:sz w:val="28"/>
        </w:rPr>
        <w:t>
      г) организации и управлении трансфером;</w:t>
      </w:r>
    </w:p>
    <w:bookmarkEnd w:id="47"/>
    <w:bookmarkStart w:name="z55" w:id="48"/>
    <w:p>
      <w:pPr>
        <w:spacing w:after="0"/>
        <w:ind w:left="0"/>
        <w:jc w:val="both"/>
      </w:pPr>
      <w:r>
        <w:rPr>
          <w:rFonts w:ascii="Times New Roman"/>
          <w:b w:val="false"/>
          <w:i w:val="false"/>
          <w:color w:val="000000"/>
          <w:sz w:val="28"/>
        </w:rPr>
        <w:t>
      д) оценки помещений, оборудования и инженерных систем;</w:t>
      </w:r>
    </w:p>
    <w:bookmarkEnd w:id="48"/>
    <w:bookmarkStart w:name="z56" w:id="49"/>
    <w:p>
      <w:pPr>
        <w:spacing w:after="0"/>
        <w:ind w:left="0"/>
        <w:jc w:val="both"/>
      </w:pPr>
      <w:r>
        <w:rPr>
          <w:rFonts w:ascii="Times New Roman"/>
          <w:b w:val="false"/>
          <w:i w:val="false"/>
          <w:color w:val="000000"/>
          <w:sz w:val="28"/>
        </w:rPr>
        <w:t xml:space="preserve">
      е) документации; </w:t>
      </w:r>
    </w:p>
    <w:bookmarkEnd w:id="49"/>
    <w:bookmarkStart w:name="z57" w:id="50"/>
    <w:p>
      <w:pPr>
        <w:spacing w:after="0"/>
        <w:ind w:left="0"/>
        <w:jc w:val="both"/>
      </w:pPr>
      <w:r>
        <w:rPr>
          <w:rFonts w:ascii="Times New Roman"/>
          <w:b w:val="false"/>
          <w:i w:val="false"/>
          <w:color w:val="000000"/>
          <w:sz w:val="28"/>
        </w:rPr>
        <w:t xml:space="preserve">
      ж) квалификации и валидации (верификации). </w:t>
      </w:r>
    </w:p>
    <w:bookmarkEnd w:id="50"/>
    <w:bookmarkStart w:name="z58" w:id="51"/>
    <w:p>
      <w:pPr>
        <w:spacing w:after="0"/>
        <w:ind w:left="0"/>
        <w:jc w:val="both"/>
      </w:pPr>
      <w:r>
        <w:rPr>
          <w:rFonts w:ascii="Times New Roman"/>
          <w:b w:val="false"/>
          <w:i w:val="false"/>
          <w:color w:val="000000"/>
          <w:sz w:val="28"/>
        </w:rPr>
        <w:t xml:space="preserve">
      17. Каждый проект трансфера является уникальным, поэтому условия проведения трансфера определяются передающей и принимающей сторонами в соглашении по трансферу или в плане трансфера. </w:t>
      </w:r>
    </w:p>
    <w:bookmarkEnd w:id="51"/>
    <w:bookmarkStart w:name="z59" w:id="52"/>
    <w:p>
      <w:pPr>
        <w:spacing w:after="0"/>
        <w:ind w:left="0"/>
        <w:jc w:val="both"/>
      </w:pPr>
      <w:r>
        <w:rPr>
          <w:rFonts w:ascii="Times New Roman"/>
          <w:b w:val="false"/>
          <w:i w:val="false"/>
          <w:color w:val="000000"/>
          <w:sz w:val="28"/>
        </w:rPr>
        <w:t xml:space="preserve">
      18. Настоящее Руководство не содержит указаний относительно правовых, финансовых или коммерческих вопросов, связанных с проектами трансфера. </w:t>
      </w:r>
    </w:p>
    <w:bookmarkEnd w:id="52"/>
    <w:bookmarkStart w:name="z60" w:id="53"/>
    <w:p>
      <w:pPr>
        <w:spacing w:after="0"/>
        <w:ind w:left="0"/>
        <w:jc w:val="left"/>
      </w:pPr>
      <w:r>
        <w:rPr>
          <w:rFonts w:ascii="Times New Roman"/>
          <w:b/>
          <w:i w:val="false"/>
          <w:color w:val="000000"/>
        </w:rPr>
        <w:t xml:space="preserve"> III. Определения</w:t>
      </w:r>
    </w:p>
    <w:bookmarkEnd w:id="53"/>
    <w:bookmarkStart w:name="z61" w:id="54"/>
    <w:p>
      <w:pPr>
        <w:spacing w:after="0"/>
        <w:ind w:left="0"/>
        <w:jc w:val="both"/>
      </w:pPr>
      <w:r>
        <w:rPr>
          <w:rFonts w:ascii="Times New Roman"/>
          <w:b w:val="false"/>
          <w:i w:val="false"/>
          <w:color w:val="000000"/>
          <w:sz w:val="28"/>
        </w:rPr>
        <w:t>
      19. Для целей настоящего Руководства используются понятия, которые означают следующее:</w:t>
      </w:r>
    </w:p>
    <w:bookmarkEnd w:id="54"/>
    <w:bookmarkStart w:name="z62" w:id="55"/>
    <w:p>
      <w:pPr>
        <w:spacing w:after="0"/>
        <w:ind w:left="0"/>
        <w:jc w:val="both"/>
      </w:pPr>
      <w:r>
        <w:rPr>
          <w:rFonts w:ascii="Times New Roman"/>
          <w:b w:val="false"/>
          <w:i w:val="false"/>
          <w:color w:val="000000"/>
          <w:sz w:val="28"/>
        </w:rPr>
        <w:t>
      "анализ расхождений" – определение различий в критических элементах процесса у принимающей и передающей сторон;</w:t>
      </w:r>
    </w:p>
    <w:bookmarkEnd w:id="55"/>
    <w:bookmarkStart w:name="z63" w:id="56"/>
    <w:p>
      <w:pPr>
        <w:spacing w:after="0"/>
        <w:ind w:left="0"/>
        <w:jc w:val="both"/>
      </w:pPr>
      <w:r>
        <w:rPr>
          <w:rFonts w:ascii="Times New Roman"/>
          <w:b w:val="false"/>
          <w:i w:val="false"/>
          <w:color w:val="000000"/>
          <w:sz w:val="28"/>
        </w:rPr>
        <w:t>
      "аналитические методики" – совокупность документированных операций и правил, выполнение которых обеспечивает получение результата анализа с установленными характеристиками методик погрешностью (неопределенностью) или для методик качественного анализа – с установленной достоверностью. Аналитические методики (физические, химические, физико-химические, биологические) используются для проведения испытаний активных фармацевтических субстанций, лекарственных препаратов, исходного сырья, вспомогательных веществ, промежуточной продукции, отбираемых в процессе производства образцов, упаковочных и печатных материалов (если это применимо);</w:t>
      </w:r>
    </w:p>
    <w:bookmarkEnd w:id="56"/>
    <w:bookmarkStart w:name="z64" w:id="57"/>
    <w:p>
      <w:pPr>
        <w:spacing w:after="0"/>
        <w:ind w:left="0"/>
        <w:jc w:val="both"/>
      </w:pPr>
      <w:r>
        <w:rPr>
          <w:rFonts w:ascii="Times New Roman"/>
          <w:b w:val="false"/>
          <w:i w:val="false"/>
          <w:color w:val="000000"/>
          <w:sz w:val="28"/>
        </w:rPr>
        <w:t>
      "валидационная серия" – серия активной фармацевтической субстанции или лекарственного препарата, произведенная способом, который полностью воспроизводит промышленный способ производства;</w:t>
      </w:r>
    </w:p>
    <w:bookmarkEnd w:id="57"/>
    <w:bookmarkStart w:name="z65" w:id="58"/>
    <w:p>
      <w:pPr>
        <w:spacing w:after="0"/>
        <w:ind w:left="0"/>
        <w:jc w:val="both"/>
      </w:pPr>
      <w:r>
        <w:rPr>
          <w:rFonts w:ascii="Times New Roman"/>
          <w:b w:val="false"/>
          <w:i w:val="false"/>
          <w:color w:val="000000"/>
          <w:sz w:val="28"/>
        </w:rPr>
        <w:t>
      "валидационный мастер-файл" – документ, который устанавливает общий план валидации для проекта, описывает принципы, стратегию и методологию производителя лекарственных средств в отношении проведения валидации, содержит информацию о программе валидационных работ принимающей стороны и определяет подробную рабочую программу и временные сроки для проведения валидационных работ, а также ответственность исполнителей, реализующих валидационный мастер-файл;</w:t>
      </w:r>
    </w:p>
    <w:bookmarkEnd w:id="58"/>
    <w:bookmarkStart w:name="z66" w:id="59"/>
    <w:p>
      <w:pPr>
        <w:spacing w:after="0"/>
        <w:ind w:left="0"/>
        <w:jc w:val="both"/>
      </w:pPr>
      <w:r>
        <w:rPr>
          <w:rFonts w:ascii="Times New Roman"/>
          <w:b w:val="false"/>
          <w:i w:val="false"/>
          <w:color w:val="000000"/>
          <w:sz w:val="28"/>
        </w:rPr>
        <w:t>
      "валидационный отчет" – документ, который включает в себя записи, результаты и оценку выполненной валидационной программы, а также может содержать предложения и (или) рекомендации по улучшению процессов производства и (или) оборудования;</w:t>
      </w:r>
    </w:p>
    <w:bookmarkEnd w:id="59"/>
    <w:bookmarkStart w:name="z67" w:id="60"/>
    <w:p>
      <w:pPr>
        <w:spacing w:after="0"/>
        <w:ind w:left="0"/>
        <w:jc w:val="both"/>
      </w:pPr>
      <w:r>
        <w:rPr>
          <w:rFonts w:ascii="Times New Roman"/>
          <w:b w:val="false"/>
          <w:i w:val="false"/>
          <w:color w:val="000000"/>
          <w:sz w:val="28"/>
        </w:rPr>
        <w:t>
      "инженерная серия" – серия активной фармацевтической субстанции, лекарственного препарата или имитатора лекарственного средства (плацебо), получаемая при пробных полномасштабных прогонах на стадии трансфера, осуществляемых на том же оборудовании, которое используется для производства промышленных серий, до начала валидации процесса. Инженерные серии не предназначены для выпуска в реализацию;</w:t>
      </w:r>
    </w:p>
    <w:bookmarkEnd w:id="60"/>
    <w:bookmarkStart w:name="z68" w:id="61"/>
    <w:p>
      <w:pPr>
        <w:spacing w:after="0"/>
        <w:ind w:left="0"/>
        <w:jc w:val="both"/>
      </w:pPr>
      <w:r>
        <w:rPr>
          <w:rFonts w:ascii="Times New Roman"/>
          <w:b w:val="false"/>
          <w:i w:val="false"/>
          <w:color w:val="000000"/>
          <w:sz w:val="28"/>
        </w:rPr>
        <w:t>
      "отчет о трансфере" – документально оформленный краткий обзор специфического проекта по трансферу, описывающий процедуры, в соответствии с которыми осуществлялся трансфер, критерии приемлемости, полученные результаты и выводы, а также любые отклонения с оценкой их критичности для процесса производства и качества лекарственного средства;</w:t>
      </w:r>
    </w:p>
    <w:bookmarkEnd w:id="61"/>
    <w:bookmarkStart w:name="z69" w:id="62"/>
    <w:p>
      <w:pPr>
        <w:spacing w:after="0"/>
        <w:ind w:left="0"/>
        <w:jc w:val="both"/>
      </w:pPr>
      <w:r>
        <w:rPr>
          <w:rFonts w:ascii="Times New Roman"/>
          <w:b w:val="false"/>
          <w:i w:val="false"/>
          <w:color w:val="000000"/>
          <w:sz w:val="28"/>
        </w:rPr>
        <w:t>
      "передающая сторона" – организация (подразделение), которая передает технологии и (или) аналитические методики;</w:t>
      </w:r>
    </w:p>
    <w:bookmarkEnd w:id="62"/>
    <w:bookmarkStart w:name="z70" w:id="63"/>
    <w:p>
      <w:pPr>
        <w:spacing w:after="0"/>
        <w:ind w:left="0"/>
        <w:jc w:val="both"/>
      </w:pPr>
      <w:r>
        <w:rPr>
          <w:rFonts w:ascii="Times New Roman"/>
          <w:b w:val="false"/>
          <w:i w:val="false"/>
          <w:color w:val="000000"/>
          <w:sz w:val="28"/>
        </w:rPr>
        <w:t xml:space="preserve">
      "план трансфера" – документ, который описывает цели и принципы трансфера технологии и (или) аналитических методик, ответственность сторон, содержит обоснование объема трансфера, ревалидации (при необходимости), информацию о сроках, персонале и его квалификации, критериях приемлемости и является основой для разработки протокола трансфера; </w:t>
      </w:r>
    </w:p>
    <w:bookmarkEnd w:id="63"/>
    <w:bookmarkStart w:name="z71" w:id="64"/>
    <w:p>
      <w:pPr>
        <w:spacing w:after="0"/>
        <w:ind w:left="0"/>
        <w:jc w:val="both"/>
      </w:pPr>
      <w:r>
        <w:rPr>
          <w:rFonts w:ascii="Times New Roman"/>
          <w:b w:val="false"/>
          <w:i w:val="false"/>
          <w:color w:val="000000"/>
          <w:sz w:val="28"/>
        </w:rPr>
        <w:t xml:space="preserve">
      "принимающая сторона" – организация (подразделение), которая получает технологии и (или) аналитические методики; </w:t>
      </w:r>
    </w:p>
    <w:bookmarkEnd w:id="64"/>
    <w:bookmarkStart w:name="z72" w:id="65"/>
    <w:p>
      <w:pPr>
        <w:spacing w:after="0"/>
        <w:ind w:left="0"/>
        <w:jc w:val="both"/>
      </w:pPr>
      <w:r>
        <w:rPr>
          <w:rFonts w:ascii="Times New Roman"/>
          <w:b w:val="false"/>
          <w:i w:val="false"/>
          <w:color w:val="000000"/>
          <w:sz w:val="28"/>
        </w:rPr>
        <w:t>
      "протокол трансфера" – документ, который содержит информацию о целях, задачах и области применения трансфера, составе группы по трансферу и распределении ответственности передающей и принимающей сторон, сроках передачи технологии производства лекарственного средства и (или) аналитических методик, стратегии трансфера, стратегии контроля, включая данные о требуемых ресурсах, персонале, выполняющем трансфер, с указанием квалификации и сведений об обучении, описание технологии производства лекарственного средства и (или) аналитических методик, экспериментальный план и критерии приемлемости, критерии успешности трансфера, порядок оценки результатов и информацию о действиях, выполняемых в случае отклонений от критериев приемлемости;</w:t>
      </w:r>
    </w:p>
    <w:bookmarkEnd w:id="65"/>
    <w:bookmarkStart w:name="z73" w:id="66"/>
    <w:p>
      <w:pPr>
        <w:spacing w:after="0"/>
        <w:ind w:left="0"/>
        <w:jc w:val="both"/>
      </w:pPr>
      <w:r>
        <w:rPr>
          <w:rFonts w:ascii="Times New Roman"/>
          <w:b w:val="false"/>
          <w:i w:val="false"/>
          <w:color w:val="000000"/>
          <w:sz w:val="28"/>
        </w:rPr>
        <w:t xml:space="preserve">
      "трансфер аналитических методик" – передача аналитических методик от лаборатории передающей стороны в лабораторию принимающей стороны; </w:t>
      </w:r>
    </w:p>
    <w:bookmarkEnd w:id="66"/>
    <w:bookmarkStart w:name="z74" w:id="67"/>
    <w:p>
      <w:pPr>
        <w:spacing w:after="0"/>
        <w:ind w:left="0"/>
        <w:jc w:val="both"/>
      </w:pPr>
      <w:r>
        <w:rPr>
          <w:rFonts w:ascii="Times New Roman"/>
          <w:b w:val="false"/>
          <w:i w:val="false"/>
          <w:color w:val="000000"/>
          <w:sz w:val="28"/>
        </w:rPr>
        <w:t>
      "трансфер технологий" – процесс передачи, внедрения (применения), адаптации информации, результатов научных исследований, новых технологий и разработок, который составляет основу процесса производства, стратегии контроля, подхода к процессу валидации и непрерывного его улучшения. Трансфер технологий осуществляется от разработчиков производителям, а также внутри или между производственными площадками для производства продукции, соответствующей своему предназначению.</w:t>
      </w:r>
    </w:p>
    <w:bookmarkEnd w:id="67"/>
    <w:bookmarkStart w:name="z75" w:id="68"/>
    <w:p>
      <w:pPr>
        <w:spacing w:after="0"/>
        <w:ind w:left="0"/>
        <w:jc w:val="left"/>
      </w:pPr>
      <w:r>
        <w:rPr>
          <w:rFonts w:ascii="Times New Roman"/>
          <w:b/>
          <w:i w:val="false"/>
          <w:color w:val="000000"/>
        </w:rPr>
        <w:t xml:space="preserve"> IV. Планирование, организация трансфера и управление им</w:t>
      </w:r>
    </w:p>
    <w:bookmarkEnd w:id="68"/>
    <w:bookmarkStart w:name="z76" w:id="69"/>
    <w:p>
      <w:pPr>
        <w:spacing w:after="0"/>
        <w:ind w:left="0"/>
        <w:jc w:val="both"/>
      </w:pPr>
      <w:r>
        <w:rPr>
          <w:rFonts w:ascii="Times New Roman"/>
          <w:b w:val="false"/>
          <w:i w:val="false"/>
          <w:color w:val="000000"/>
          <w:sz w:val="28"/>
        </w:rPr>
        <w:t>
      20.      При планировании, организация трансфера и управлении им должны быть гарантированы осуществление и документальное оформление его основных этапов согласно пункту 6 настоящего Руководства и соблюдением общих принципов и требований согласно пункту 10 настоящего Руководства.</w:t>
      </w:r>
    </w:p>
    <w:bookmarkEnd w:id="69"/>
    <w:bookmarkStart w:name="z77" w:id="70"/>
    <w:p>
      <w:pPr>
        <w:spacing w:after="0"/>
        <w:ind w:left="0"/>
        <w:jc w:val="both"/>
      </w:pPr>
      <w:r>
        <w:rPr>
          <w:rFonts w:ascii="Times New Roman"/>
          <w:b w:val="false"/>
          <w:i w:val="false"/>
          <w:color w:val="000000"/>
          <w:sz w:val="28"/>
        </w:rPr>
        <w:t>
      21.      Передающей и принимающей сторонам следует заключить официальные соглашения, определяющие ответственность сторон до начала трансфера, на всех его стадиях и после завершения трансфера. К таким соглашениям относится соглашение о трансфере (договор трансфера или иное соглашение, в котором отражены порядок и условия проведения процедуры трансфера) или план трансфера.</w:t>
      </w:r>
    </w:p>
    <w:bookmarkEnd w:id="70"/>
    <w:bookmarkStart w:name="z78" w:id="71"/>
    <w:p>
      <w:pPr>
        <w:spacing w:after="0"/>
        <w:ind w:left="0"/>
        <w:jc w:val="both"/>
      </w:pPr>
      <w:r>
        <w:rPr>
          <w:rFonts w:ascii="Times New Roman"/>
          <w:b w:val="false"/>
          <w:i w:val="false"/>
          <w:color w:val="000000"/>
          <w:sz w:val="28"/>
        </w:rPr>
        <w:t>
      22.      План трансфера и соглашение о трансфере могут быть оформлены разными документами или одним документом.</w:t>
      </w:r>
    </w:p>
    <w:bookmarkEnd w:id="71"/>
    <w:bookmarkStart w:name="z79" w:id="72"/>
    <w:p>
      <w:pPr>
        <w:spacing w:after="0"/>
        <w:ind w:left="0"/>
        <w:jc w:val="both"/>
      </w:pPr>
      <w:r>
        <w:rPr>
          <w:rFonts w:ascii="Times New Roman"/>
          <w:b w:val="false"/>
          <w:i w:val="false"/>
          <w:color w:val="000000"/>
          <w:sz w:val="28"/>
        </w:rPr>
        <w:t>
      23.      В зависимости от сложности проекта по трансферу план трансфера может содержать в себе следующие разделы:</w:t>
      </w:r>
    </w:p>
    <w:bookmarkEnd w:id="72"/>
    <w:bookmarkStart w:name="z80" w:id="73"/>
    <w:p>
      <w:pPr>
        <w:spacing w:after="0"/>
        <w:ind w:left="0"/>
        <w:jc w:val="both"/>
      </w:pPr>
      <w:r>
        <w:rPr>
          <w:rFonts w:ascii="Times New Roman"/>
          <w:b w:val="false"/>
          <w:i w:val="false"/>
          <w:color w:val="000000"/>
          <w:sz w:val="28"/>
        </w:rPr>
        <w:t>
      цель трансфера;</w:t>
      </w:r>
    </w:p>
    <w:bookmarkEnd w:id="73"/>
    <w:bookmarkStart w:name="z81" w:id="74"/>
    <w:p>
      <w:pPr>
        <w:spacing w:after="0"/>
        <w:ind w:left="0"/>
        <w:jc w:val="both"/>
      </w:pPr>
      <w:r>
        <w:rPr>
          <w:rFonts w:ascii="Times New Roman"/>
          <w:b w:val="false"/>
          <w:i w:val="false"/>
          <w:color w:val="000000"/>
          <w:sz w:val="28"/>
        </w:rPr>
        <w:t>
      область (границы и (или) объект трансфера) применения трансфера, точка завершения трансфера (трансфер может осуществляться поэтапно, этапы следует определить в документах по планированию трансфера);</w:t>
      </w:r>
    </w:p>
    <w:bookmarkEnd w:id="74"/>
    <w:bookmarkStart w:name="z82" w:id="75"/>
    <w:p>
      <w:pPr>
        <w:spacing w:after="0"/>
        <w:ind w:left="0"/>
        <w:jc w:val="both"/>
      </w:pPr>
      <w:r>
        <w:rPr>
          <w:rFonts w:ascii="Times New Roman"/>
          <w:b w:val="false"/>
          <w:i w:val="false"/>
          <w:color w:val="000000"/>
          <w:sz w:val="28"/>
        </w:rPr>
        <w:t xml:space="preserve">
      ответственность сторон; </w:t>
      </w:r>
    </w:p>
    <w:bookmarkEnd w:id="75"/>
    <w:bookmarkStart w:name="z83" w:id="76"/>
    <w:p>
      <w:pPr>
        <w:spacing w:after="0"/>
        <w:ind w:left="0"/>
        <w:jc w:val="both"/>
      </w:pPr>
      <w:r>
        <w:rPr>
          <w:rFonts w:ascii="Times New Roman"/>
          <w:b w:val="false"/>
          <w:i w:val="false"/>
          <w:color w:val="000000"/>
          <w:sz w:val="28"/>
        </w:rPr>
        <w:t>
      объем и временные рамки трансфера;</w:t>
      </w:r>
    </w:p>
    <w:bookmarkEnd w:id="76"/>
    <w:bookmarkStart w:name="z84" w:id="77"/>
    <w:p>
      <w:pPr>
        <w:spacing w:after="0"/>
        <w:ind w:left="0"/>
        <w:jc w:val="both"/>
      </w:pPr>
      <w:r>
        <w:rPr>
          <w:rFonts w:ascii="Times New Roman"/>
          <w:b w:val="false"/>
          <w:i w:val="false"/>
          <w:color w:val="000000"/>
          <w:sz w:val="28"/>
        </w:rPr>
        <w:t>
      обоснование объема повторной валидации (при необходимости);</w:t>
      </w:r>
    </w:p>
    <w:bookmarkEnd w:id="77"/>
    <w:bookmarkStart w:name="z85" w:id="78"/>
    <w:p>
      <w:pPr>
        <w:spacing w:after="0"/>
        <w:ind w:left="0"/>
        <w:jc w:val="both"/>
      </w:pPr>
      <w:r>
        <w:rPr>
          <w:rFonts w:ascii="Times New Roman"/>
          <w:b w:val="false"/>
          <w:i w:val="false"/>
          <w:color w:val="000000"/>
          <w:sz w:val="28"/>
        </w:rPr>
        <w:t>
      оценка и обоснование выбора аналитических методик (для трансфера аналитических методик);</w:t>
      </w:r>
    </w:p>
    <w:bookmarkEnd w:id="78"/>
    <w:bookmarkStart w:name="z86" w:id="79"/>
    <w:p>
      <w:pPr>
        <w:spacing w:after="0"/>
        <w:ind w:left="0"/>
        <w:jc w:val="both"/>
      </w:pPr>
      <w:r>
        <w:rPr>
          <w:rFonts w:ascii="Times New Roman"/>
          <w:b w:val="false"/>
          <w:i w:val="false"/>
          <w:color w:val="000000"/>
          <w:sz w:val="28"/>
        </w:rPr>
        <w:t>
      порядок проведения тренингов (обучения) персонала, оценка результатов;</w:t>
      </w:r>
    </w:p>
    <w:bookmarkEnd w:id="79"/>
    <w:bookmarkStart w:name="z87" w:id="80"/>
    <w:p>
      <w:pPr>
        <w:spacing w:after="0"/>
        <w:ind w:left="0"/>
        <w:jc w:val="both"/>
      </w:pPr>
      <w:r>
        <w:rPr>
          <w:rFonts w:ascii="Times New Roman"/>
          <w:b w:val="false"/>
          <w:i w:val="false"/>
          <w:color w:val="000000"/>
          <w:sz w:val="28"/>
        </w:rPr>
        <w:t>
      критерии успешности трансфера;</w:t>
      </w:r>
    </w:p>
    <w:bookmarkEnd w:id="80"/>
    <w:bookmarkStart w:name="z88" w:id="81"/>
    <w:p>
      <w:pPr>
        <w:spacing w:after="0"/>
        <w:ind w:left="0"/>
        <w:jc w:val="both"/>
      </w:pPr>
      <w:r>
        <w:rPr>
          <w:rFonts w:ascii="Times New Roman"/>
          <w:b w:val="false"/>
          <w:i w:val="false"/>
          <w:color w:val="000000"/>
          <w:sz w:val="28"/>
        </w:rPr>
        <w:t>
      перечень документации, передаваемой при проведении трансфера (информация об объекте трансфера и соответствующие документы: спецификации на сырье и материалы, отчеты по валидации, документы по производству (регламенты, рецептура, технологические инструкции и др.));</w:t>
      </w:r>
    </w:p>
    <w:bookmarkEnd w:id="81"/>
    <w:bookmarkStart w:name="z89" w:id="82"/>
    <w:p>
      <w:pPr>
        <w:spacing w:after="0"/>
        <w:ind w:left="0"/>
        <w:jc w:val="both"/>
      </w:pPr>
      <w:r>
        <w:rPr>
          <w:rFonts w:ascii="Times New Roman"/>
          <w:b w:val="false"/>
          <w:i w:val="false"/>
          <w:color w:val="000000"/>
          <w:sz w:val="28"/>
        </w:rPr>
        <w:t>
      ограничения, риски для качества;</w:t>
      </w:r>
    </w:p>
    <w:bookmarkEnd w:id="82"/>
    <w:bookmarkStart w:name="z90" w:id="83"/>
    <w:p>
      <w:pPr>
        <w:spacing w:after="0"/>
        <w:ind w:left="0"/>
        <w:jc w:val="both"/>
      </w:pPr>
      <w:r>
        <w:rPr>
          <w:rFonts w:ascii="Times New Roman"/>
          <w:b w:val="false"/>
          <w:i w:val="false"/>
          <w:color w:val="000000"/>
          <w:sz w:val="28"/>
        </w:rPr>
        <w:t>
      ресурсы и бюджет (информацию о сроках, ресурсах и бюджете, ключевых предпосылках, нормативной стратегии и критериях успеха следует актуализировать по мере необходимости).</w:t>
      </w:r>
    </w:p>
    <w:bookmarkEnd w:id="83"/>
    <w:bookmarkStart w:name="z91" w:id="84"/>
    <w:p>
      <w:pPr>
        <w:spacing w:after="0"/>
        <w:ind w:left="0"/>
        <w:jc w:val="both"/>
      </w:pPr>
      <w:r>
        <w:rPr>
          <w:rFonts w:ascii="Times New Roman"/>
          <w:b w:val="false"/>
          <w:i w:val="false"/>
          <w:color w:val="000000"/>
          <w:sz w:val="28"/>
        </w:rPr>
        <w:t>
      План трансфера технологий составляется по форме согласно приложению № 1. План трансфера аналитических методик составляется по форме согласно приложению № 2.</w:t>
      </w:r>
    </w:p>
    <w:bookmarkEnd w:id="84"/>
    <w:bookmarkStart w:name="z92" w:id="85"/>
    <w:p>
      <w:pPr>
        <w:spacing w:after="0"/>
        <w:ind w:left="0"/>
        <w:jc w:val="both"/>
      </w:pPr>
      <w:r>
        <w:rPr>
          <w:rFonts w:ascii="Times New Roman"/>
          <w:b w:val="false"/>
          <w:i w:val="false"/>
          <w:color w:val="000000"/>
          <w:sz w:val="28"/>
        </w:rPr>
        <w:t>
      24.      В зависимости от сложности проекта по трансферу соглашение о трансфере может дополнительно включать в себя следующие разделы:</w:t>
      </w:r>
    </w:p>
    <w:bookmarkEnd w:id="85"/>
    <w:bookmarkStart w:name="z93" w:id="86"/>
    <w:p>
      <w:pPr>
        <w:spacing w:after="0"/>
        <w:ind w:left="0"/>
        <w:jc w:val="both"/>
      </w:pPr>
      <w:r>
        <w:rPr>
          <w:rFonts w:ascii="Times New Roman"/>
          <w:b w:val="false"/>
          <w:i w:val="false"/>
          <w:color w:val="000000"/>
          <w:sz w:val="28"/>
        </w:rPr>
        <w:t>
      а) условие о совместном выполнении протокола трансфера в соответствии с указанными этапами трансфера;</w:t>
      </w:r>
    </w:p>
    <w:bookmarkEnd w:id="86"/>
    <w:bookmarkStart w:name="z94" w:id="87"/>
    <w:p>
      <w:pPr>
        <w:spacing w:after="0"/>
        <w:ind w:left="0"/>
        <w:jc w:val="both"/>
      </w:pPr>
      <w:r>
        <w:rPr>
          <w:rFonts w:ascii="Times New Roman"/>
          <w:b w:val="false"/>
          <w:i w:val="false"/>
          <w:color w:val="000000"/>
          <w:sz w:val="28"/>
        </w:rPr>
        <w:t>
      б) порядок согласования изменений, отклонений от плана трансфера;</w:t>
      </w:r>
    </w:p>
    <w:bookmarkEnd w:id="87"/>
    <w:bookmarkStart w:name="z95" w:id="88"/>
    <w:p>
      <w:pPr>
        <w:spacing w:after="0"/>
        <w:ind w:left="0"/>
        <w:jc w:val="both"/>
      </w:pPr>
      <w:r>
        <w:rPr>
          <w:rFonts w:ascii="Times New Roman"/>
          <w:b w:val="false"/>
          <w:i w:val="false"/>
          <w:color w:val="000000"/>
          <w:sz w:val="28"/>
        </w:rPr>
        <w:t>
      в) порядок документирования действий, хранение документации;</w:t>
      </w:r>
    </w:p>
    <w:bookmarkEnd w:id="88"/>
    <w:bookmarkStart w:name="z96" w:id="89"/>
    <w:p>
      <w:pPr>
        <w:spacing w:after="0"/>
        <w:ind w:left="0"/>
        <w:jc w:val="both"/>
      </w:pPr>
      <w:r>
        <w:rPr>
          <w:rFonts w:ascii="Times New Roman"/>
          <w:b w:val="false"/>
          <w:i w:val="false"/>
          <w:color w:val="000000"/>
          <w:sz w:val="28"/>
        </w:rPr>
        <w:t>
      г) условия передачи и хранения образцов для трансфера;</w:t>
      </w:r>
    </w:p>
    <w:bookmarkEnd w:id="89"/>
    <w:bookmarkStart w:name="z97" w:id="90"/>
    <w:p>
      <w:pPr>
        <w:spacing w:after="0"/>
        <w:ind w:left="0"/>
        <w:jc w:val="both"/>
      </w:pPr>
      <w:r>
        <w:rPr>
          <w:rFonts w:ascii="Times New Roman"/>
          <w:b w:val="false"/>
          <w:i w:val="false"/>
          <w:color w:val="000000"/>
          <w:sz w:val="28"/>
        </w:rPr>
        <w:t>
      д) порядок проведения аудитов и инспекций;</w:t>
      </w:r>
    </w:p>
    <w:bookmarkEnd w:id="90"/>
    <w:bookmarkStart w:name="z98" w:id="91"/>
    <w:p>
      <w:pPr>
        <w:spacing w:after="0"/>
        <w:ind w:left="0"/>
        <w:jc w:val="both"/>
      </w:pPr>
      <w:r>
        <w:rPr>
          <w:rFonts w:ascii="Times New Roman"/>
          <w:b w:val="false"/>
          <w:i w:val="false"/>
          <w:color w:val="000000"/>
          <w:sz w:val="28"/>
        </w:rPr>
        <w:t>
      е) иные разделы (при необходимости).</w:t>
      </w:r>
    </w:p>
    <w:bookmarkEnd w:id="91"/>
    <w:bookmarkStart w:name="z99" w:id="92"/>
    <w:p>
      <w:pPr>
        <w:spacing w:after="0"/>
        <w:ind w:left="0"/>
        <w:jc w:val="both"/>
      </w:pPr>
      <w:r>
        <w:rPr>
          <w:rFonts w:ascii="Times New Roman"/>
          <w:b w:val="false"/>
          <w:i w:val="false"/>
          <w:color w:val="000000"/>
          <w:sz w:val="28"/>
        </w:rPr>
        <w:t>
      25.      В отличие от плана трансфера соглашение о трансфере определяет стратегические намерения и общие рамки трансфера, включая требования по взаимодействию в вопросах качества, представляющее собой более подробное описание элементов трансфера, которые должны быть выполнены командой трансфера для достижения поставленных целей.</w:t>
      </w:r>
    </w:p>
    <w:bookmarkEnd w:id="92"/>
    <w:bookmarkStart w:name="z100" w:id="93"/>
    <w:p>
      <w:pPr>
        <w:spacing w:after="0"/>
        <w:ind w:left="0"/>
        <w:jc w:val="both"/>
      </w:pPr>
      <w:r>
        <w:rPr>
          <w:rFonts w:ascii="Times New Roman"/>
          <w:b w:val="false"/>
          <w:i w:val="false"/>
          <w:color w:val="000000"/>
          <w:sz w:val="28"/>
        </w:rPr>
        <w:t xml:space="preserve">
      26.      Передающая сторона должна предоставить (при необходимости) всю необходимую валидационную документацию в отношении трансфера, в том числе касающуюся вспомогательных стадий, а также аналитические методики. </w:t>
      </w:r>
    </w:p>
    <w:bookmarkEnd w:id="93"/>
    <w:bookmarkStart w:name="z101" w:id="94"/>
    <w:p>
      <w:pPr>
        <w:spacing w:after="0"/>
        <w:ind w:left="0"/>
        <w:jc w:val="both"/>
      </w:pPr>
      <w:r>
        <w:rPr>
          <w:rFonts w:ascii="Times New Roman"/>
          <w:b w:val="false"/>
          <w:i w:val="false"/>
          <w:color w:val="000000"/>
          <w:sz w:val="28"/>
        </w:rPr>
        <w:t>
      27.      Передающая сторона должна представить критерии и информацию в отношении рисков для качества и критических этапов, связанных с передаваемым лекарственным средством, технологией или аналитической методикой, которые служат основанием для деятельности по управлению рисками для качества, осуществляемой принимающей стороной.</w:t>
      </w:r>
    </w:p>
    <w:bookmarkEnd w:id="94"/>
    <w:bookmarkStart w:name="z102" w:id="95"/>
    <w:p>
      <w:pPr>
        <w:spacing w:after="0"/>
        <w:ind w:left="0"/>
        <w:jc w:val="both"/>
      </w:pPr>
      <w:r>
        <w:rPr>
          <w:rFonts w:ascii="Times New Roman"/>
          <w:b w:val="false"/>
          <w:i w:val="false"/>
          <w:color w:val="000000"/>
          <w:sz w:val="28"/>
        </w:rPr>
        <w:t>
      28.      Важно регламентировать взаимодействие и ответственность обеих сторон на различных этапах трансфера. Например, в случае если принимающая сторона определяет конкретные проблемы, связанные с технологией и (или) аналитическими методиками в ходе трансфера, она должна сообщить о них передающей стороне для гарантии непрерывного управления знаниями, для своевременного решения проблемы и выполнения корректирующих действий в целях предотвращения возникновения проблемы после завершения трансфера. Необходимо предусмотреть возможность оказания всесторонней поддержки со стороны передающей стороны после завершения трансфера (в том числе при подготовке документов, входящих в состав регистрационного досье (при необходимости)).</w:t>
      </w:r>
    </w:p>
    <w:bookmarkEnd w:id="95"/>
    <w:bookmarkStart w:name="z103" w:id="96"/>
    <w:p>
      <w:pPr>
        <w:spacing w:after="0"/>
        <w:ind w:left="0"/>
        <w:jc w:val="left"/>
      </w:pPr>
      <w:r>
        <w:rPr>
          <w:rFonts w:ascii="Times New Roman"/>
          <w:b/>
          <w:i w:val="false"/>
          <w:color w:val="000000"/>
        </w:rPr>
        <w:t xml:space="preserve"> V. Определение критериев успешности трансфера</w:t>
      </w:r>
    </w:p>
    <w:bookmarkEnd w:id="96"/>
    <w:bookmarkStart w:name="z104" w:id="97"/>
    <w:p>
      <w:pPr>
        <w:spacing w:after="0"/>
        <w:ind w:left="0"/>
        <w:jc w:val="both"/>
      </w:pPr>
      <w:r>
        <w:rPr>
          <w:rFonts w:ascii="Times New Roman"/>
          <w:b w:val="false"/>
          <w:i w:val="false"/>
          <w:color w:val="000000"/>
          <w:sz w:val="28"/>
        </w:rPr>
        <w:t>
      29. Оценка успешности трансфера базируется на предварительно определенном наборе критериев, которые согласовываются передающей и принимающей сторонами до момента осуществления трансфера.</w:t>
      </w:r>
    </w:p>
    <w:bookmarkEnd w:id="97"/>
    <w:bookmarkStart w:name="z105" w:id="98"/>
    <w:p>
      <w:pPr>
        <w:spacing w:after="0"/>
        <w:ind w:left="0"/>
        <w:jc w:val="both"/>
      </w:pPr>
      <w:r>
        <w:rPr>
          <w:rFonts w:ascii="Times New Roman"/>
          <w:b w:val="false"/>
          <w:i w:val="false"/>
          <w:color w:val="000000"/>
          <w:sz w:val="28"/>
        </w:rPr>
        <w:t>
      Критерии успешности трансфера зависят от характера передаваемой технологии и этапа разработки, на которой осуществляется трансфер. Критерии должны быть измеримыми и достижимыми.</w:t>
      </w:r>
    </w:p>
    <w:bookmarkEnd w:id="98"/>
    <w:bookmarkStart w:name="z106" w:id="99"/>
    <w:p>
      <w:pPr>
        <w:spacing w:after="0"/>
        <w:ind w:left="0"/>
        <w:jc w:val="both"/>
      </w:pPr>
      <w:r>
        <w:rPr>
          <w:rFonts w:ascii="Times New Roman"/>
          <w:b w:val="false"/>
          <w:i w:val="false"/>
          <w:color w:val="000000"/>
          <w:sz w:val="28"/>
        </w:rPr>
        <w:t>
      Для определения успешности трансфера могут быть использованы следующее критерии:</w:t>
      </w:r>
    </w:p>
    <w:bookmarkEnd w:id="99"/>
    <w:bookmarkStart w:name="z107" w:id="100"/>
    <w:p>
      <w:pPr>
        <w:spacing w:after="0"/>
        <w:ind w:left="0"/>
        <w:jc w:val="both"/>
      </w:pPr>
      <w:r>
        <w:rPr>
          <w:rFonts w:ascii="Times New Roman"/>
          <w:b w:val="false"/>
          <w:i w:val="false"/>
          <w:color w:val="000000"/>
          <w:sz w:val="28"/>
        </w:rPr>
        <w:t xml:space="preserve">
      подтвержденная способность принимающей стороны в рутинном режиме воспроизводить лекарственное средство, технологический процесс или аналитическую методику в соответствии с определенным набором спецификаций, согласованных с передающей стороной; </w:t>
      </w:r>
    </w:p>
    <w:bookmarkEnd w:id="100"/>
    <w:bookmarkStart w:name="z108" w:id="101"/>
    <w:p>
      <w:pPr>
        <w:spacing w:after="0"/>
        <w:ind w:left="0"/>
        <w:jc w:val="both"/>
      </w:pPr>
      <w:r>
        <w:rPr>
          <w:rFonts w:ascii="Times New Roman"/>
          <w:b w:val="false"/>
          <w:i w:val="false"/>
          <w:color w:val="000000"/>
          <w:sz w:val="28"/>
        </w:rPr>
        <w:t>
      наличие спецификаций (на выпуск и на конец срока годности) на переносимое лекарственное средство, соответствующих спецификациям регистрационного досье (для зарегистрированных лекарственных средств);</w:t>
      </w:r>
    </w:p>
    <w:bookmarkEnd w:id="101"/>
    <w:bookmarkStart w:name="z109" w:id="102"/>
    <w:p>
      <w:pPr>
        <w:spacing w:after="0"/>
        <w:ind w:left="0"/>
        <w:jc w:val="both"/>
      </w:pPr>
      <w:r>
        <w:rPr>
          <w:rFonts w:ascii="Times New Roman"/>
          <w:b w:val="false"/>
          <w:i w:val="false"/>
          <w:color w:val="000000"/>
          <w:sz w:val="28"/>
        </w:rPr>
        <w:t>
      наличие полного комплекта разработанной документации, необходимой при трансфере (стандартные операционные процедуры по процессам производства, по контролю, очистке оборудования, технологические документы (производственная рецептура, технологические инструкции, инструкции по упаковке), методики испытаний, записи по производству серии, планы, протоколы, отчеты и относящиеся к ним записи предпринятых действий или сделанных заключений);</w:t>
      </w:r>
    </w:p>
    <w:bookmarkEnd w:id="102"/>
    <w:bookmarkStart w:name="z110" w:id="103"/>
    <w:p>
      <w:pPr>
        <w:spacing w:after="0"/>
        <w:ind w:left="0"/>
        <w:jc w:val="both"/>
      </w:pPr>
      <w:r>
        <w:rPr>
          <w:rFonts w:ascii="Times New Roman"/>
          <w:b w:val="false"/>
          <w:i w:val="false"/>
          <w:color w:val="000000"/>
          <w:sz w:val="28"/>
        </w:rPr>
        <w:t>
      соответствие технических средств принимающей стороны (помещения, оборудование, инженерные системы) требованиям, установленным передающей стороной;</w:t>
      </w:r>
    </w:p>
    <w:bookmarkEnd w:id="103"/>
    <w:bookmarkStart w:name="z111" w:id="104"/>
    <w:p>
      <w:pPr>
        <w:spacing w:after="0"/>
        <w:ind w:left="0"/>
        <w:jc w:val="both"/>
      </w:pPr>
      <w:r>
        <w:rPr>
          <w:rFonts w:ascii="Times New Roman"/>
          <w:b w:val="false"/>
          <w:i w:val="false"/>
          <w:color w:val="000000"/>
          <w:sz w:val="28"/>
        </w:rPr>
        <w:t>
      наличие документированного подтверждения способностей, навыков и знаний у персонала принимающей стороны и умение продемонстрировать эти способности, навыки и знания членам группы (команды) проекта по трансферу передающей стороны;</w:t>
      </w:r>
    </w:p>
    <w:bookmarkEnd w:id="104"/>
    <w:bookmarkStart w:name="z112" w:id="105"/>
    <w:p>
      <w:pPr>
        <w:spacing w:after="0"/>
        <w:ind w:left="0"/>
        <w:jc w:val="both"/>
      </w:pPr>
      <w:r>
        <w:rPr>
          <w:rFonts w:ascii="Times New Roman"/>
          <w:b w:val="false"/>
          <w:i w:val="false"/>
          <w:color w:val="000000"/>
          <w:sz w:val="28"/>
        </w:rPr>
        <w:t>
      своевременное выполнение всех этапов трансфера;</w:t>
      </w:r>
    </w:p>
    <w:bookmarkEnd w:id="105"/>
    <w:bookmarkStart w:name="z113" w:id="106"/>
    <w:p>
      <w:pPr>
        <w:spacing w:after="0"/>
        <w:ind w:left="0"/>
        <w:jc w:val="both"/>
      </w:pPr>
      <w:r>
        <w:rPr>
          <w:rFonts w:ascii="Times New Roman"/>
          <w:b w:val="false"/>
          <w:i w:val="false"/>
          <w:color w:val="000000"/>
          <w:sz w:val="28"/>
        </w:rPr>
        <w:t>
      успешная валидация технологического процесса и (или) аналитических методик, применяемых принимающей стороной;</w:t>
      </w:r>
    </w:p>
    <w:bookmarkEnd w:id="106"/>
    <w:bookmarkStart w:name="z114" w:id="107"/>
    <w:p>
      <w:pPr>
        <w:spacing w:after="0"/>
        <w:ind w:left="0"/>
        <w:jc w:val="both"/>
      </w:pPr>
      <w:r>
        <w:rPr>
          <w:rFonts w:ascii="Times New Roman"/>
          <w:b w:val="false"/>
          <w:i w:val="false"/>
          <w:color w:val="000000"/>
          <w:sz w:val="28"/>
        </w:rPr>
        <w:t>
      соблюдение запланированного бюджета;</w:t>
      </w:r>
    </w:p>
    <w:bookmarkEnd w:id="107"/>
    <w:bookmarkStart w:name="z115" w:id="108"/>
    <w:p>
      <w:pPr>
        <w:spacing w:after="0"/>
        <w:ind w:left="0"/>
        <w:jc w:val="both"/>
      </w:pPr>
      <w:r>
        <w:rPr>
          <w:rFonts w:ascii="Times New Roman"/>
          <w:b w:val="false"/>
          <w:i w:val="false"/>
          <w:color w:val="000000"/>
          <w:sz w:val="28"/>
        </w:rPr>
        <w:t>
      другие подходящие критерии.</w:t>
      </w:r>
    </w:p>
    <w:bookmarkEnd w:id="108"/>
    <w:bookmarkStart w:name="z116" w:id="109"/>
    <w:p>
      <w:pPr>
        <w:spacing w:after="0"/>
        <w:ind w:left="0"/>
        <w:jc w:val="both"/>
      </w:pPr>
      <w:r>
        <w:rPr>
          <w:rFonts w:ascii="Times New Roman"/>
          <w:b w:val="false"/>
          <w:i w:val="false"/>
          <w:color w:val="000000"/>
          <w:sz w:val="28"/>
        </w:rPr>
        <w:t>
      Конкретные критерии успешности (в том числе специфические) должны быть указаны в плане трансфера (составленным по формам в соответствии с приложениями № 1 и 2 к настоящему Руководству).</w:t>
      </w:r>
    </w:p>
    <w:bookmarkEnd w:id="109"/>
    <w:bookmarkStart w:name="z117" w:id="110"/>
    <w:p>
      <w:pPr>
        <w:spacing w:after="0"/>
        <w:ind w:left="0"/>
        <w:jc w:val="left"/>
      </w:pPr>
      <w:r>
        <w:rPr>
          <w:rFonts w:ascii="Times New Roman"/>
          <w:b/>
          <w:i w:val="false"/>
          <w:color w:val="000000"/>
        </w:rPr>
        <w:t xml:space="preserve"> VI. Формирование группы (команды) проекта по трансферу</w:t>
      </w:r>
    </w:p>
    <w:bookmarkEnd w:id="110"/>
    <w:bookmarkStart w:name="z118" w:id="111"/>
    <w:p>
      <w:pPr>
        <w:spacing w:after="0"/>
        <w:ind w:left="0"/>
        <w:jc w:val="both"/>
      </w:pPr>
      <w:r>
        <w:rPr>
          <w:rFonts w:ascii="Times New Roman"/>
          <w:b w:val="false"/>
          <w:i w:val="false"/>
          <w:color w:val="000000"/>
          <w:sz w:val="28"/>
        </w:rPr>
        <w:t>
      30. Реализация проекта по трансферу осуществляется группой (командой), состоящей из членов с четко определенными ключевыми обязанностями. Группа (команда) проекта по трансферу должна формироваться из персонала как передающей, так и принимающей сторон соответствующих подразделений, обладающего достаточными знаниями и опытом для выполнения возложенных на него функций. Состав группы (команды) проекта по трансферу будет зависеть от объекта трансфера (технология производства активной фармацевтической субстанции, нерасфасованной продукции, промежуточной продукции, готовой продукции, аналитических методик, др.)</w:t>
      </w:r>
      <w:r>
        <w:rPr>
          <w:rFonts w:ascii="Times New Roman"/>
          <w:b w:val="false"/>
          <w:i/>
          <w:color w:val="000000"/>
          <w:sz w:val="28"/>
        </w:rPr>
        <w:t>.</w:t>
      </w:r>
      <w:r>
        <w:rPr>
          <w:rFonts w:ascii="Times New Roman"/>
          <w:b w:val="false"/>
          <w:i w:val="false"/>
          <w:color w:val="000000"/>
          <w:sz w:val="28"/>
        </w:rPr>
        <w:t xml:space="preserve"> </w:t>
      </w:r>
    </w:p>
    <w:bookmarkEnd w:id="111"/>
    <w:bookmarkStart w:name="z119" w:id="112"/>
    <w:p>
      <w:pPr>
        <w:spacing w:after="0"/>
        <w:ind w:left="0"/>
        <w:jc w:val="both"/>
      </w:pPr>
      <w:r>
        <w:rPr>
          <w:rFonts w:ascii="Times New Roman"/>
          <w:b w:val="false"/>
          <w:i w:val="false"/>
          <w:color w:val="000000"/>
          <w:sz w:val="28"/>
        </w:rPr>
        <w:t>
      31. Члены группы (команды) проекта по трансферу должны иметь необходимую квалификацию и опыт управления конкретными аспектами трансфера, находящимися в области их ответственности.</w:t>
      </w:r>
    </w:p>
    <w:bookmarkEnd w:id="112"/>
    <w:bookmarkStart w:name="z120" w:id="113"/>
    <w:p>
      <w:pPr>
        <w:spacing w:after="0"/>
        <w:ind w:left="0"/>
        <w:jc w:val="both"/>
      </w:pPr>
      <w:r>
        <w:rPr>
          <w:rFonts w:ascii="Times New Roman"/>
          <w:b w:val="false"/>
          <w:i w:val="false"/>
          <w:color w:val="000000"/>
          <w:sz w:val="28"/>
        </w:rPr>
        <w:t>
      Как правило, группа (команда) проекта по трансферу должна включать представителей передающей и принимающей сторон и иметь следующий состав:</w:t>
      </w:r>
    </w:p>
    <w:bookmarkEnd w:id="113"/>
    <w:bookmarkStart w:name="z121" w:id="114"/>
    <w:p>
      <w:pPr>
        <w:spacing w:after="0"/>
        <w:ind w:left="0"/>
        <w:jc w:val="both"/>
      </w:pPr>
      <w:r>
        <w:rPr>
          <w:rFonts w:ascii="Times New Roman"/>
          <w:b w:val="false"/>
          <w:i w:val="false"/>
          <w:color w:val="000000"/>
          <w:sz w:val="28"/>
        </w:rPr>
        <w:t>
      администратор (менеджер проекта, отвечающий за направление, управление и одобрение деятельности по трансферу);</w:t>
      </w:r>
    </w:p>
    <w:bookmarkEnd w:id="114"/>
    <w:bookmarkStart w:name="z122" w:id="115"/>
    <w:p>
      <w:pPr>
        <w:spacing w:after="0"/>
        <w:ind w:left="0"/>
        <w:jc w:val="both"/>
      </w:pPr>
      <w:r>
        <w:rPr>
          <w:rFonts w:ascii="Times New Roman"/>
          <w:b w:val="false"/>
          <w:i w:val="false"/>
          <w:color w:val="000000"/>
          <w:sz w:val="28"/>
        </w:rPr>
        <w:t xml:space="preserve">
      исполнители (персонал задействованных в трансфере структурных подразделений, специалисты в узкой области знаний); </w:t>
      </w:r>
    </w:p>
    <w:bookmarkEnd w:id="115"/>
    <w:bookmarkStart w:name="z123" w:id="116"/>
    <w:p>
      <w:pPr>
        <w:spacing w:after="0"/>
        <w:ind w:left="0"/>
        <w:jc w:val="both"/>
      </w:pPr>
      <w:r>
        <w:rPr>
          <w:rFonts w:ascii="Times New Roman"/>
          <w:b w:val="false"/>
          <w:i w:val="false"/>
          <w:color w:val="000000"/>
          <w:sz w:val="28"/>
        </w:rPr>
        <w:t>
      аудитор или контролер (например, сотрудник отдела обеспечения качества, отдела по охране труда, эколог);</w:t>
      </w:r>
    </w:p>
    <w:bookmarkEnd w:id="116"/>
    <w:bookmarkStart w:name="z124" w:id="117"/>
    <w:p>
      <w:pPr>
        <w:spacing w:after="0"/>
        <w:ind w:left="0"/>
        <w:jc w:val="both"/>
      </w:pPr>
      <w:r>
        <w:rPr>
          <w:rFonts w:ascii="Times New Roman"/>
          <w:b w:val="false"/>
          <w:i w:val="false"/>
          <w:color w:val="000000"/>
          <w:sz w:val="28"/>
        </w:rPr>
        <w:t>
      представители спонсора проекта по трансферу.</w:t>
      </w:r>
    </w:p>
    <w:bookmarkEnd w:id="117"/>
    <w:bookmarkStart w:name="z125" w:id="118"/>
    <w:p>
      <w:pPr>
        <w:spacing w:after="0"/>
        <w:ind w:left="0"/>
        <w:jc w:val="both"/>
      </w:pPr>
      <w:r>
        <w:rPr>
          <w:rFonts w:ascii="Times New Roman"/>
          <w:b w:val="false"/>
          <w:i w:val="false"/>
          <w:color w:val="000000"/>
          <w:sz w:val="28"/>
        </w:rPr>
        <w:t>
      Роль и ответственность каждого члена группы (команды) проекта по трансферу должна быть определена в соглашении по трансферу до начала трансфера и доведена до сведения исполнителей.</w:t>
      </w:r>
    </w:p>
    <w:bookmarkEnd w:id="118"/>
    <w:bookmarkStart w:name="z126" w:id="119"/>
    <w:p>
      <w:pPr>
        <w:spacing w:after="0"/>
        <w:ind w:left="0"/>
        <w:jc w:val="left"/>
      </w:pPr>
      <w:r>
        <w:rPr>
          <w:rFonts w:ascii="Times New Roman"/>
          <w:b/>
          <w:i w:val="false"/>
          <w:color w:val="000000"/>
        </w:rPr>
        <w:t xml:space="preserve"> VII. Консолидация знаний, анализ расхождений</w:t>
      </w:r>
    </w:p>
    <w:bookmarkEnd w:id="119"/>
    <w:bookmarkStart w:name="z127" w:id="120"/>
    <w:p>
      <w:pPr>
        <w:spacing w:after="0"/>
        <w:ind w:left="0"/>
        <w:jc w:val="both"/>
      </w:pPr>
      <w:r>
        <w:rPr>
          <w:rFonts w:ascii="Times New Roman"/>
          <w:b w:val="false"/>
          <w:i w:val="false"/>
          <w:color w:val="000000"/>
          <w:sz w:val="28"/>
        </w:rPr>
        <w:t xml:space="preserve">
      32. Передающая сторона должна представить принимающей стороне всю необходимую документацию в отношении лекарственного средства, технологий или аналитических методик в соответствии с планом трансфера и (или) соглашением о трансфере. </w:t>
      </w:r>
    </w:p>
    <w:bookmarkEnd w:id="120"/>
    <w:bookmarkStart w:name="z128" w:id="121"/>
    <w:p>
      <w:pPr>
        <w:spacing w:after="0"/>
        <w:ind w:left="0"/>
        <w:jc w:val="both"/>
      </w:pPr>
      <w:r>
        <w:rPr>
          <w:rFonts w:ascii="Times New Roman"/>
          <w:b w:val="false"/>
          <w:i w:val="false"/>
          <w:color w:val="000000"/>
          <w:sz w:val="28"/>
        </w:rPr>
        <w:t xml:space="preserve">
      33. Передающая и принимающая стороны должны совместно разработать протокол трансфера, касающийся технологии и (или) аналитических методик, а также разработать сопоставимый процесс производства на площадке принимающей стороны. </w:t>
      </w:r>
    </w:p>
    <w:bookmarkEnd w:id="121"/>
    <w:bookmarkStart w:name="z129" w:id="122"/>
    <w:p>
      <w:pPr>
        <w:spacing w:after="0"/>
        <w:ind w:left="0"/>
        <w:jc w:val="left"/>
      </w:pPr>
      <w:r>
        <w:rPr>
          <w:rFonts w:ascii="Times New Roman"/>
          <w:b/>
          <w:i w:val="false"/>
          <w:color w:val="000000"/>
        </w:rPr>
        <w:t xml:space="preserve"> Исходные материалы</w:t>
      </w:r>
    </w:p>
    <w:bookmarkEnd w:id="122"/>
    <w:bookmarkStart w:name="z130" w:id="123"/>
    <w:p>
      <w:pPr>
        <w:spacing w:after="0"/>
        <w:ind w:left="0"/>
        <w:jc w:val="both"/>
      </w:pPr>
      <w:r>
        <w:rPr>
          <w:rFonts w:ascii="Times New Roman"/>
          <w:b w:val="false"/>
          <w:i w:val="false"/>
          <w:color w:val="000000"/>
          <w:sz w:val="28"/>
        </w:rPr>
        <w:t>
      34. Спецификации и соответствующие функциональные характеристики исходных материалов (активные фармацевтические субстанции, исходное сырье для активной фармацевтической субстанции, вспомогательные вещества, промежуточная продукция, нерасфасованная продукция)</w:t>
      </w:r>
      <w:r>
        <w:rPr>
          <w:rFonts w:ascii="Times New Roman"/>
          <w:b w:val="false"/>
          <w:i/>
          <w:color w:val="000000"/>
          <w:sz w:val="28"/>
        </w:rPr>
        <w:t>,</w:t>
      </w:r>
      <w:r>
        <w:rPr>
          <w:rFonts w:ascii="Times New Roman"/>
          <w:b w:val="false"/>
          <w:i w:val="false"/>
          <w:color w:val="000000"/>
          <w:sz w:val="28"/>
        </w:rPr>
        <w:t xml:space="preserve"> используемых принимающей стороной, должны быть эквивалентны спецификациям и характеристикам исходных материалов, используемых передающей стороной. </w:t>
      </w:r>
    </w:p>
    <w:bookmarkEnd w:id="123"/>
    <w:bookmarkStart w:name="z131" w:id="124"/>
    <w:p>
      <w:pPr>
        <w:spacing w:after="0"/>
        <w:ind w:left="0"/>
        <w:jc w:val="left"/>
      </w:pPr>
      <w:r>
        <w:rPr>
          <w:rFonts w:ascii="Times New Roman"/>
          <w:b/>
          <w:i w:val="false"/>
          <w:color w:val="000000"/>
        </w:rPr>
        <w:t xml:space="preserve"> Активные фармацевтические субстанции </w:t>
      </w:r>
    </w:p>
    <w:bookmarkEnd w:id="124"/>
    <w:bookmarkStart w:name="z132" w:id="125"/>
    <w:p>
      <w:pPr>
        <w:spacing w:after="0"/>
        <w:ind w:left="0"/>
        <w:jc w:val="both"/>
      </w:pPr>
      <w:r>
        <w:rPr>
          <w:rFonts w:ascii="Times New Roman"/>
          <w:b w:val="false"/>
          <w:i w:val="false"/>
          <w:color w:val="000000"/>
          <w:sz w:val="28"/>
        </w:rPr>
        <w:t>
      35. Передающая сторона должна предоставить принимающей стороне открытую часть валидационного мастер-файла на активную фармацевтическую субстанцию (при наличии) или эквивалентную информацию, а также другую необходимую информацию об активной фармацевтической субстанции, в том числе закрытую часть мастер-файла на активную фармацевтическую субстанцию, имеющую значение для производства лекарственного средства.</w:t>
      </w:r>
    </w:p>
    <w:bookmarkEnd w:id="125"/>
    <w:bookmarkStart w:name="z133" w:id="126"/>
    <w:p>
      <w:pPr>
        <w:spacing w:after="0"/>
        <w:ind w:left="0"/>
        <w:jc w:val="both"/>
      </w:pPr>
      <w:r>
        <w:rPr>
          <w:rFonts w:ascii="Times New Roman"/>
          <w:b w:val="false"/>
          <w:i w:val="false"/>
          <w:color w:val="000000"/>
          <w:sz w:val="28"/>
        </w:rPr>
        <w:t xml:space="preserve">
      36. Для определения объема и вида информации, предоставляемой в каждом конкретном случае, необходимо проводить оценку с использованием принципов управления рисками для качества. В рамках трансфера передающая сторона предоставляет, как правило, следующую информацию и документы: </w:t>
      </w:r>
    </w:p>
    <w:bookmarkEnd w:id="126"/>
    <w:bookmarkStart w:name="z134" w:id="127"/>
    <w:p>
      <w:pPr>
        <w:spacing w:after="0"/>
        <w:ind w:left="0"/>
        <w:jc w:val="both"/>
      </w:pPr>
      <w:r>
        <w:rPr>
          <w:rFonts w:ascii="Times New Roman"/>
          <w:b w:val="false"/>
          <w:i w:val="false"/>
          <w:color w:val="000000"/>
          <w:sz w:val="28"/>
        </w:rPr>
        <w:t>
      сведения о производителях сырья, материалов и цепи поставок;</w:t>
      </w:r>
    </w:p>
    <w:bookmarkEnd w:id="127"/>
    <w:bookmarkStart w:name="z135" w:id="128"/>
    <w:p>
      <w:pPr>
        <w:spacing w:after="0"/>
        <w:ind w:left="0"/>
        <w:jc w:val="both"/>
      </w:pPr>
      <w:r>
        <w:rPr>
          <w:rFonts w:ascii="Times New Roman"/>
          <w:b w:val="false"/>
          <w:i w:val="false"/>
          <w:color w:val="000000"/>
          <w:sz w:val="28"/>
        </w:rPr>
        <w:t>
      информация о передаваемом этапе производства активной фармацевтической субстанции;</w:t>
      </w:r>
    </w:p>
    <w:bookmarkEnd w:id="128"/>
    <w:bookmarkStart w:name="z136" w:id="129"/>
    <w:p>
      <w:pPr>
        <w:spacing w:after="0"/>
        <w:ind w:left="0"/>
        <w:jc w:val="both"/>
      </w:pPr>
      <w:r>
        <w:rPr>
          <w:rFonts w:ascii="Times New Roman"/>
          <w:b w:val="false"/>
          <w:i w:val="false"/>
          <w:color w:val="000000"/>
          <w:sz w:val="28"/>
        </w:rPr>
        <w:t>
      блок-схема производства активной фармацевтической субстанции (начиная с процесса поступления сырья и материалов), содержащая описание критических этапов процесса, средств технологического контроля, в том числе, промежуточной продукции;</w:t>
      </w:r>
    </w:p>
    <w:bookmarkEnd w:id="129"/>
    <w:bookmarkStart w:name="z137" w:id="130"/>
    <w:p>
      <w:pPr>
        <w:spacing w:after="0"/>
        <w:ind w:left="0"/>
        <w:jc w:val="both"/>
      </w:pPr>
      <w:r>
        <w:rPr>
          <w:rFonts w:ascii="Times New Roman"/>
          <w:b w:val="false"/>
          <w:i w:val="false"/>
          <w:color w:val="000000"/>
          <w:sz w:val="28"/>
        </w:rPr>
        <w:t>
      требования, предъявляемые к оборудованию для реализации технологического процесса (например, техническое исполнение оборудования, материалы, контактирующие с продуктом, диапазоны контролируемых параметров, рабочие диапазоны);</w:t>
      </w:r>
    </w:p>
    <w:bookmarkEnd w:id="130"/>
    <w:bookmarkStart w:name="z138" w:id="131"/>
    <w:p>
      <w:pPr>
        <w:spacing w:after="0"/>
        <w:ind w:left="0"/>
        <w:jc w:val="both"/>
      </w:pPr>
      <w:r>
        <w:rPr>
          <w:rFonts w:ascii="Times New Roman"/>
          <w:b w:val="false"/>
          <w:i w:val="false"/>
          <w:color w:val="000000"/>
          <w:sz w:val="28"/>
        </w:rPr>
        <w:t>
      определение (если применимо) физических форм активной фармацевтической субстанции (включая микрофотоснимки и другие относящиеся к делу сведения), а также указание ее формы (полиморфная и мономорфная);</w:t>
      </w:r>
    </w:p>
    <w:bookmarkEnd w:id="131"/>
    <w:bookmarkStart w:name="z139" w:id="132"/>
    <w:p>
      <w:pPr>
        <w:spacing w:after="0"/>
        <w:ind w:left="0"/>
        <w:jc w:val="both"/>
      </w:pPr>
      <w:r>
        <w:rPr>
          <w:rFonts w:ascii="Times New Roman"/>
          <w:b w:val="false"/>
          <w:i w:val="false"/>
          <w:color w:val="000000"/>
          <w:sz w:val="28"/>
        </w:rPr>
        <w:t>
      профиль растворимости;</w:t>
      </w:r>
    </w:p>
    <w:bookmarkEnd w:id="132"/>
    <w:bookmarkStart w:name="z140" w:id="133"/>
    <w:p>
      <w:pPr>
        <w:spacing w:after="0"/>
        <w:ind w:left="0"/>
        <w:jc w:val="both"/>
      </w:pPr>
      <w:r>
        <w:rPr>
          <w:rFonts w:ascii="Times New Roman"/>
          <w:b w:val="false"/>
          <w:i w:val="false"/>
          <w:color w:val="000000"/>
          <w:sz w:val="28"/>
        </w:rPr>
        <w:t>
      уровень рН в растворе (если применимо);</w:t>
      </w:r>
    </w:p>
    <w:bookmarkEnd w:id="133"/>
    <w:bookmarkStart w:name="z141" w:id="134"/>
    <w:p>
      <w:pPr>
        <w:spacing w:after="0"/>
        <w:ind w:left="0"/>
        <w:jc w:val="both"/>
      </w:pPr>
      <w:r>
        <w:rPr>
          <w:rFonts w:ascii="Times New Roman"/>
          <w:b w:val="false"/>
          <w:i w:val="false"/>
          <w:color w:val="000000"/>
          <w:sz w:val="28"/>
        </w:rPr>
        <w:t>
      однородность распределения (включая методы определения);</w:t>
      </w:r>
    </w:p>
    <w:bookmarkEnd w:id="134"/>
    <w:bookmarkStart w:name="z142" w:id="135"/>
    <w:p>
      <w:pPr>
        <w:spacing w:after="0"/>
        <w:ind w:left="0"/>
        <w:jc w:val="both"/>
      </w:pPr>
      <w:r>
        <w:rPr>
          <w:rFonts w:ascii="Times New Roman"/>
          <w:b w:val="false"/>
          <w:i w:val="false"/>
          <w:color w:val="000000"/>
          <w:sz w:val="28"/>
        </w:rPr>
        <w:t>
      скорость растворения (включая методы определения);</w:t>
      </w:r>
    </w:p>
    <w:bookmarkEnd w:id="135"/>
    <w:bookmarkStart w:name="z143" w:id="136"/>
    <w:p>
      <w:pPr>
        <w:spacing w:after="0"/>
        <w:ind w:left="0"/>
        <w:jc w:val="both"/>
      </w:pPr>
      <w:r>
        <w:rPr>
          <w:rFonts w:ascii="Times New Roman"/>
          <w:b w:val="false"/>
          <w:i w:val="false"/>
          <w:color w:val="000000"/>
          <w:sz w:val="28"/>
        </w:rPr>
        <w:t>
      размер и распределение частиц (включая методы определения);</w:t>
      </w:r>
    </w:p>
    <w:bookmarkEnd w:id="136"/>
    <w:bookmarkStart w:name="z144" w:id="137"/>
    <w:p>
      <w:pPr>
        <w:spacing w:after="0"/>
        <w:ind w:left="0"/>
        <w:jc w:val="both"/>
      </w:pPr>
      <w:r>
        <w:rPr>
          <w:rFonts w:ascii="Times New Roman"/>
          <w:b w:val="false"/>
          <w:i w:val="false"/>
          <w:color w:val="000000"/>
          <w:sz w:val="28"/>
        </w:rPr>
        <w:t>
      физические свойства, включая сведения о сыпучести, насыпном объеме, площади поверхности, пористости и др. (если применимо);</w:t>
      </w:r>
    </w:p>
    <w:bookmarkEnd w:id="137"/>
    <w:bookmarkStart w:name="z145" w:id="138"/>
    <w:p>
      <w:pPr>
        <w:spacing w:after="0"/>
        <w:ind w:left="0"/>
        <w:jc w:val="both"/>
      </w:pPr>
      <w:r>
        <w:rPr>
          <w:rFonts w:ascii="Times New Roman"/>
          <w:b w:val="false"/>
          <w:i w:val="false"/>
          <w:color w:val="000000"/>
          <w:sz w:val="28"/>
        </w:rPr>
        <w:t>
      содержание воды, включая данные по кристаллизационной воде и гигроскопичности;</w:t>
      </w:r>
    </w:p>
    <w:bookmarkEnd w:id="138"/>
    <w:bookmarkStart w:name="z146" w:id="139"/>
    <w:p>
      <w:pPr>
        <w:spacing w:after="0"/>
        <w:ind w:left="0"/>
        <w:jc w:val="both"/>
      </w:pPr>
      <w:r>
        <w:rPr>
          <w:rFonts w:ascii="Times New Roman"/>
          <w:b w:val="false"/>
          <w:i w:val="false"/>
          <w:color w:val="000000"/>
          <w:sz w:val="28"/>
        </w:rPr>
        <w:t>
      микробиологические показатели (включая микробиологическую чистоту, стерильность, содержание бактериальных эндотоксинов и бионагрузки, если активная фармацевтическая субстанция не обладает антимикробным, бактериостатическим действием) в соответствии с требованиями Фармакопеи Евразийского экономического союза, фармакопей государств-членов или основных фармакопей согласно Концепции гармонизации фармакопей государств – членов Евразийского экономического союза, утвержденной Решением Коллегии Евразийской экономической комиссии от 22 сентября 2015 г. № 119 (далее – Концепция);</w:t>
      </w:r>
    </w:p>
    <w:bookmarkEnd w:id="139"/>
    <w:bookmarkStart w:name="z147" w:id="140"/>
    <w:p>
      <w:pPr>
        <w:spacing w:after="0"/>
        <w:ind w:left="0"/>
        <w:jc w:val="both"/>
      </w:pPr>
      <w:r>
        <w:rPr>
          <w:rFonts w:ascii="Times New Roman"/>
          <w:b w:val="false"/>
          <w:i w:val="false"/>
          <w:color w:val="000000"/>
          <w:sz w:val="28"/>
        </w:rPr>
        <w:t>
      спецификации активной фармацевтической субстанции на выпуск, спецификации активной фармацевтической субстанции на срок годности и их обоснование, спецификации на исходное сырье для активной фармацевтической субстанции;</w:t>
      </w:r>
    </w:p>
    <w:bookmarkEnd w:id="140"/>
    <w:bookmarkStart w:name="z148" w:id="141"/>
    <w:p>
      <w:pPr>
        <w:spacing w:after="0"/>
        <w:ind w:left="0"/>
        <w:jc w:val="both"/>
      </w:pPr>
      <w:r>
        <w:rPr>
          <w:rFonts w:ascii="Times New Roman"/>
          <w:b w:val="false"/>
          <w:i w:val="false"/>
          <w:color w:val="000000"/>
          <w:sz w:val="28"/>
        </w:rPr>
        <w:t>
      краткий обзор исследований стабильности активной фармацевтической субстанции, проведенных в соответствии с Требованиями к исследованию стабильности лекарственных препаратов и фармацевтических субстанций, утвержденными Решением Коллегии Евразийской экономической комиссии от 10 мая 2018 г. № 69 (включая выводы и рекомендации по дате проведения повторных испытаний, если допустимо);</w:t>
      </w:r>
    </w:p>
    <w:bookmarkEnd w:id="141"/>
    <w:bookmarkStart w:name="z149" w:id="142"/>
    <w:p>
      <w:pPr>
        <w:spacing w:after="0"/>
        <w:ind w:left="0"/>
        <w:jc w:val="both"/>
      </w:pPr>
      <w:r>
        <w:rPr>
          <w:rFonts w:ascii="Times New Roman"/>
          <w:b w:val="false"/>
          <w:i w:val="false"/>
          <w:color w:val="000000"/>
          <w:sz w:val="28"/>
        </w:rPr>
        <w:t xml:space="preserve">
      перечень потенциальных и наблюдаемых примесей с данными, которые содержат предлагаемые спецификации и уровни (концентрации) обычно наблюдаемых примесей; </w:t>
      </w:r>
    </w:p>
    <w:bookmarkEnd w:id="142"/>
    <w:bookmarkStart w:name="z150" w:id="143"/>
    <w:p>
      <w:pPr>
        <w:spacing w:after="0"/>
        <w:ind w:left="0"/>
        <w:jc w:val="both"/>
      </w:pPr>
      <w:r>
        <w:rPr>
          <w:rFonts w:ascii="Times New Roman"/>
          <w:b w:val="false"/>
          <w:i w:val="false"/>
          <w:color w:val="000000"/>
          <w:sz w:val="28"/>
        </w:rPr>
        <w:t>
      информация о продуктах деградации с перечнем потенциальных и наблюдаемых продуктов деградации и данными, которые содержат предлагаемые спецификации и уровни (концентрации) обычно наблюдаемых продуктов деградации;</w:t>
      </w:r>
    </w:p>
    <w:bookmarkEnd w:id="143"/>
    <w:bookmarkStart w:name="z151" w:id="144"/>
    <w:p>
      <w:pPr>
        <w:spacing w:after="0"/>
        <w:ind w:left="0"/>
        <w:jc w:val="both"/>
      </w:pPr>
      <w:r>
        <w:rPr>
          <w:rFonts w:ascii="Times New Roman"/>
          <w:b w:val="false"/>
          <w:i w:val="false"/>
          <w:color w:val="000000"/>
          <w:sz w:val="28"/>
        </w:rPr>
        <w:t>
      требования к содержанию основного вещества с учетом чистоты активной фармацевтической субстанции, а также методики пересчета рекомендуемого исходного количества активной фармацевтической субстанции для производства готовой продукции (с предоставлением примерных расчетов), и методики испытаний при оценке подлинности, растворения, чистоты и количественного определения;</w:t>
      </w:r>
    </w:p>
    <w:bookmarkEnd w:id="144"/>
    <w:bookmarkStart w:name="z152" w:id="145"/>
    <w:p>
      <w:pPr>
        <w:spacing w:after="0"/>
        <w:ind w:left="0"/>
        <w:jc w:val="both"/>
      </w:pPr>
      <w:r>
        <w:rPr>
          <w:rFonts w:ascii="Times New Roman"/>
          <w:b w:val="false"/>
          <w:i w:val="false"/>
          <w:color w:val="000000"/>
          <w:sz w:val="28"/>
        </w:rPr>
        <w:t>
      особые характеристики, влияющие на условия хранения и (или) обращения активной фармацевтической субстанции, факторы безопасности для окружающей среды (например, специфические данные о безопасности материалов, а также чувствительность к теплу, свету или влажности и т. д.);</w:t>
      </w:r>
    </w:p>
    <w:bookmarkEnd w:id="145"/>
    <w:bookmarkStart w:name="z153" w:id="146"/>
    <w:p>
      <w:pPr>
        <w:spacing w:after="0"/>
        <w:ind w:left="0"/>
        <w:jc w:val="both"/>
      </w:pPr>
      <w:r>
        <w:rPr>
          <w:rFonts w:ascii="Times New Roman"/>
          <w:b w:val="false"/>
          <w:i w:val="false"/>
          <w:color w:val="000000"/>
          <w:sz w:val="28"/>
        </w:rPr>
        <w:t>
      комплект документов по исследованиям, подтверждающим способность процесса производства удалять родственные примеси, производственные примеси и потенциальные контаминанты (например, вирусы в процессе использования материала человеческого или животного происхождения);</w:t>
      </w:r>
    </w:p>
    <w:bookmarkEnd w:id="146"/>
    <w:bookmarkStart w:name="z154" w:id="147"/>
    <w:p>
      <w:pPr>
        <w:spacing w:after="0"/>
        <w:ind w:left="0"/>
        <w:jc w:val="both"/>
      </w:pPr>
      <w:r>
        <w:rPr>
          <w:rFonts w:ascii="Times New Roman"/>
          <w:b w:val="false"/>
          <w:i w:val="false"/>
          <w:color w:val="000000"/>
          <w:sz w:val="28"/>
        </w:rPr>
        <w:t>
      комплект документов по исследованиям, проводимым для вычисления жизненного цикла хроматографических сорбентов и мембран;</w:t>
      </w:r>
    </w:p>
    <w:bookmarkEnd w:id="147"/>
    <w:bookmarkStart w:name="z155" w:id="148"/>
    <w:p>
      <w:pPr>
        <w:spacing w:after="0"/>
        <w:ind w:left="0"/>
        <w:jc w:val="both"/>
      </w:pPr>
      <w:r>
        <w:rPr>
          <w:rFonts w:ascii="Times New Roman"/>
          <w:b w:val="false"/>
          <w:i w:val="false"/>
          <w:color w:val="000000"/>
          <w:sz w:val="28"/>
        </w:rPr>
        <w:t>
      информацию о процедурах очистки оборудования;</w:t>
      </w:r>
    </w:p>
    <w:bookmarkEnd w:id="148"/>
    <w:bookmarkStart w:name="z156" w:id="149"/>
    <w:p>
      <w:pPr>
        <w:spacing w:after="0"/>
        <w:ind w:left="0"/>
        <w:jc w:val="both"/>
      </w:pPr>
      <w:r>
        <w:rPr>
          <w:rFonts w:ascii="Times New Roman"/>
          <w:b w:val="false"/>
          <w:i w:val="false"/>
          <w:color w:val="000000"/>
          <w:sz w:val="28"/>
        </w:rPr>
        <w:t>
      информацию об исследованиях стабильности питательных сред, добавок и буферных растворов, исследованиях стабильности клеточных линий;</w:t>
      </w:r>
    </w:p>
    <w:bookmarkEnd w:id="149"/>
    <w:bookmarkStart w:name="z157" w:id="150"/>
    <w:p>
      <w:pPr>
        <w:spacing w:after="0"/>
        <w:ind w:left="0"/>
        <w:jc w:val="both"/>
      </w:pPr>
      <w:r>
        <w:rPr>
          <w:rFonts w:ascii="Times New Roman"/>
          <w:b w:val="false"/>
          <w:i w:val="false"/>
          <w:color w:val="000000"/>
          <w:sz w:val="28"/>
        </w:rPr>
        <w:t>
      информацию об аттестации банка клеток;</w:t>
      </w:r>
    </w:p>
    <w:bookmarkEnd w:id="150"/>
    <w:bookmarkStart w:name="z158" w:id="151"/>
    <w:p>
      <w:pPr>
        <w:spacing w:after="0"/>
        <w:ind w:left="0"/>
        <w:jc w:val="both"/>
      </w:pPr>
      <w:r>
        <w:rPr>
          <w:rFonts w:ascii="Times New Roman"/>
          <w:b w:val="false"/>
          <w:i w:val="false"/>
          <w:color w:val="000000"/>
          <w:sz w:val="28"/>
        </w:rPr>
        <w:t>
      информацию об экстрагируемых веществах.</w:t>
      </w:r>
    </w:p>
    <w:bookmarkEnd w:id="151"/>
    <w:bookmarkStart w:name="z159" w:id="152"/>
    <w:p>
      <w:pPr>
        <w:spacing w:after="0"/>
        <w:ind w:left="0"/>
        <w:jc w:val="both"/>
      </w:pPr>
      <w:r>
        <w:rPr>
          <w:rFonts w:ascii="Times New Roman"/>
          <w:b w:val="false"/>
          <w:i w:val="false"/>
          <w:color w:val="000000"/>
          <w:sz w:val="28"/>
        </w:rPr>
        <w:t>
      Если исходными материалами являются промежуточная или нерасфасованная продукция, передающая сторона должна также предоставить информацию о валидированных условиях транспортирования промежуточных продуктов, включая вторичную упаковку (если необходимо).</w:t>
      </w:r>
    </w:p>
    <w:bookmarkEnd w:id="152"/>
    <w:bookmarkStart w:name="z160" w:id="153"/>
    <w:p>
      <w:pPr>
        <w:spacing w:after="0"/>
        <w:ind w:left="0"/>
        <w:jc w:val="left"/>
      </w:pPr>
      <w:r>
        <w:rPr>
          <w:rFonts w:ascii="Times New Roman"/>
          <w:b/>
          <w:i w:val="false"/>
          <w:color w:val="000000"/>
        </w:rPr>
        <w:t xml:space="preserve"> Вспомогательные вещества</w:t>
      </w:r>
    </w:p>
    <w:bookmarkEnd w:id="153"/>
    <w:bookmarkStart w:name="z161" w:id="154"/>
    <w:p>
      <w:pPr>
        <w:spacing w:after="0"/>
        <w:ind w:left="0"/>
        <w:jc w:val="both"/>
      </w:pPr>
      <w:r>
        <w:rPr>
          <w:rFonts w:ascii="Times New Roman"/>
          <w:b w:val="false"/>
          <w:i w:val="false"/>
          <w:color w:val="000000"/>
          <w:sz w:val="28"/>
        </w:rPr>
        <w:t>
      37. Вспомогательные вещества оказывают прямое влияние на качество готовой продукции, поэтому требования к их качеству и функциональным характеристикам должны быть переданы принимающей стороне.</w:t>
      </w:r>
    </w:p>
    <w:bookmarkEnd w:id="154"/>
    <w:bookmarkStart w:name="z162" w:id="155"/>
    <w:p>
      <w:pPr>
        <w:spacing w:after="0"/>
        <w:ind w:left="0"/>
        <w:jc w:val="both"/>
      </w:pPr>
      <w:r>
        <w:rPr>
          <w:rFonts w:ascii="Times New Roman"/>
          <w:b w:val="false"/>
          <w:i w:val="false"/>
          <w:color w:val="000000"/>
          <w:sz w:val="28"/>
        </w:rPr>
        <w:t>
      38. Для определения объема предоставляемой информации о вспомогательных веществах в каждом отдельном случае необходимо проводить оценку с использованием принципов управления рисками для качества. В рамках трансфера передающая сторона предоставляет как правило следующую информацию и документы:</w:t>
      </w:r>
    </w:p>
    <w:bookmarkEnd w:id="155"/>
    <w:bookmarkStart w:name="z163" w:id="156"/>
    <w:p>
      <w:pPr>
        <w:spacing w:after="0"/>
        <w:ind w:left="0"/>
        <w:jc w:val="both"/>
      </w:pPr>
      <w:r>
        <w:rPr>
          <w:rFonts w:ascii="Times New Roman"/>
          <w:b w:val="false"/>
          <w:i w:val="false"/>
          <w:color w:val="000000"/>
          <w:sz w:val="28"/>
        </w:rPr>
        <w:t>
      сведения о производителе и цепи поставок;</w:t>
      </w:r>
    </w:p>
    <w:bookmarkEnd w:id="156"/>
    <w:bookmarkStart w:name="z164" w:id="157"/>
    <w:p>
      <w:pPr>
        <w:spacing w:after="0"/>
        <w:ind w:left="0"/>
        <w:jc w:val="both"/>
      </w:pPr>
      <w:r>
        <w:rPr>
          <w:rFonts w:ascii="Times New Roman"/>
          <w:b w:val="false"/>
          <w:i w:val="false"/>
          <w:color w:val="000000"/>
          <w:sz w:val="28"/>
        </w:rPr>
        <w:t>
      описание характеристик вспомогательных веществ с обоснованием включения антиоксиданта, консерванта или иного вспомогательного вещества в состав лекарственного средства;</w:t>
      </w:r>
    </w:p>
    <w:bookmarkEnd w:id="157"/>
    <w:bookmarkStart w:name="z165" w:id="158"/>
    <w:p>
      <w:pPr>
        <w:spacing w:after="0"/>
        <w:ind w:left="0"/>
        <w:jc w:val="both"/>
      </w:pPr>
      <w:r>
        <w:rPr>
          <w:rFonts w:ascii="Times New Roman"/>
          <w:b w:val="false"/>
          <w:i w:val="false"/>
          <w:color w:val="000000"/>
          <w:sz w:val="28"/>
        </w:rPr>
        <w:t>
      физические характеристики формы вспомогательных веществ (в частности для твердых и ингаляционных лекарственных форм);</w:t>
      </w:r>
    </w:p>
    <w:bookmarkEnd w:id="158"/>
    <w:bookmarkStart w:name="z166" w:id="159"/>
    <w:p>
      <w:pPr>
        <w:spacing w:after="0"/>
        <w:ind w:left="0"/>
        <w:jc w:val="both"/>
      </w:pPr>
      <w:r>
        <w:rPr>
          <w:rFonts w:ascii="Times New Roman"/>
          <w:b w:val="false"/>
          <w:i w:val="false"/>
          <w:color w:val="000000"/>
          <w:sz w:val="28"/>
        </w:rPr>
        <w:t>
      профиль растворимости (в частности для ингаляционных и трансдермальных лекарственных форм);</w:t>
      </w:r>
    </w:p>
    <w:bookmarkEnd w:id="159"/>
    <w:bookmarkStart w:name="z167" w:id="160"/>
    <w:p>
      <w:pPr>
        <w:spacing w:after="0"/>
        <w:ind w:left="0"/>
        <w:jc w:val="both"/>
      </w:pPr>
      <w:r>
        <w:rPr>
          <w:rFonts w:ascii="Times New Roman"/>
          <w:b w:val="false"/>
          <w:i w:val="false"/>
          <w:color w:val="000000"/>
          <w:sz w:val="28"/>
        </w:rPr>
        <w:t>
      коэффициент распределения, включая метод определения (для трансдермальных лекарственных форм);</w:t>
      </w:r>
    </w:p>
    <w:bookmarkEnd w:id="160"/>
    <w:bookmarkStart w:name="z168" w:id="161"/>
    <w:p>
      <w:pPr>
        <w:spacing w:after="0"/>
        <w:ind w:left="0"/>
        <w:jc w:val="both"/>
      </w:pPr>
      <w:r>
        <w:rPr>
          <w:rFonts w:ascii="Times New Roman"/>
          <w:b w:val="false"/>
          <w:i w:val="false"/>
          <w:color w:val="000000"/>
          <w:sz w:val="28"/>
        </w:rPr>
        <w:t>
      скорость растворения, включая метод определения (для трансдермальных лекарственных форм);</w:t>
      </w:r>
    </w:p>
    <w:bookmarkEnd w:id="161"/>
    <w:bookmarkStart w:name="z169" w:id="162"/>
    <w:p>
      <w:pPr>
        <w:spacing w:after="0"/>
        <w:ind w:left="0"/>
        <w:jc w:val="both"/>
      </w:pPr>
      <w:r>
        <w:rPr>
          <w:rFonts w:ascii="Times New Roman"/>
          <w:b w:val="false"/>
          <w:i w:val="false"/>
          <w:color w:val="000000"/>
          <w:sz w:val="28"/>
        </w:rPr>
        <w:t>
      размер и распределение частиц, включая метод определения (для твердых, ингаляционных и трансдермальных лекарственных форм);</w:t>
      </w:r>
    </w:p>
    <w:bookmarkEnd w:id="162"/>
    <w:bookmarkStart w:name="z170" w:id="163"/>
    <w:p>
      <w:pPr>
        <w:spacing w:after="0"/>
        <w:ind w:left="0"/>
        <w:jc w:val="both"/>
      </w:pPr>
      <w:r>
        <w:rPr>
          <w:rFonts w:ascii="Times New Roman"/>
          <w:b w:val="false"/>
          <w:i w:val="false"/>
          <w:color w:val="000000"/>
          <w:sz w:val="28"/>
        </w:rPr>
        <w:t>
      физические свойства, включая данные по насыпной плотности и плотности после уплотнения, поверхностной площади и пористости, если применимо (для твердых и ингаляционных лекарственных форм);</w:t>
      </w:r>
    </w:p>
    <w:bookmarkEnd w:id="163"/>
    <w:bookmarkStart w:name="z171" w:id="164"/>
    <w:p>
      <w:pPr>
        <w:spacing w:after="0"/>
        <w:ind w:left="0"/>
        <w:jc w:val="both"/>
      </w:pPr>
      <w:r>
        <w:rPr>
          <w:rFonts w:ascii="Times New Roman"/>
          <w:b w:val="false"/>
          <w:i w:val="false"/>
          <w:color w:val="000000"/>
          <w:sz w:val="28"/>
        </w:rPr>
        <w:t>
      свойства по сжимаемости (прессованию) (для твердых лекарственных форм);</w:t>
      </w:r>
    </w:p>
    <w:bookmarkEnd w:id="164"/>
    <w:bookmarkStart w:name="z172" w:id="165"/>
    <w:p>
      <w:pPr>
        <w:spacing w:after="0"/>
        <w:ind w:left="0"/>
        <w:jc w:val="both"/>
      </w:pPr>
      <w:r>
        <w:rPr>
          <w:rFonts w:ascii="Times New Roman"/>
          <w:b w:val="false"/>
          <w:i w:val="false"/>
          <w:color w:val="000000"/>
          <w:sz w:val="28"/>
        </w:rPr>
        <w:t>
      диапазон температуры плавления (для мягких лекарственных форм или лекарственных форм для местного применения);</w:t>
      </w:r>
    </w:p>
    <w:bookmarkEnd w:id="165"/>
    <w:bookmarkStart w:name="z173" w:id="166"/>
    <w:p>
      <w:pPr>
        <w:spacing w:after="0"/>
        <w:ind w:left="0"/>
        <w:jc w:val="both"/>
      </w:pPr>
      <w:r>
        <w:rPr>
          <w:rFonts w:ascii="Times New Roman"/>
          <w:b w:val="false"/>
          <w:i w:val="false"/>
          <w:color w:val="000000"/>
          <w:sz w:val="28"/>
        </w:rPr>
        <w:t>
      диапазон рН (для парентеральных, мягких, жидких и трансдермальных лекарственных форм);</w:t>
      </w:r>
    </w:p>
    <w:bookmarkEnd w:id="166"/>
    <w:bookmarkStart w:name="z174" w:id="167"/>
    <w:p>
      <w:pPr>
        <w:spacing w:after="0"/>
        <w:ind w:left="0"/>
        <w:jc w:val="both"/>
      </w:pPr>
      <w:r>
        <w:rPr>
          <w:rFonts w:ascii="Times New Roman"/>
          <w:b w:val="false"/>
          <w:i w:val="false"/>
          <w:color w:val="000000"/>
          <w:sz w:val="28"/>
        </w:rPr>
        <w:t>
      ионная сила (для парентеральных лекарственных форм);</w:t>
      </w:r>
    </w:p>
    <w:bookmarkEnd w:id="167"/>
    <w:bookmarkStart w:name="z175" w:id="168"/>
    <w:p>
      <w:pPr>
        <w:spacing w:after="0"/>
        <w:ind w:left="0"/>
        <w:jc w:val="both"/>
      </w:pPr>
      <w:r>
        <w:rPr>
          <w:rFonts w:ascii="Times New Roman"/>
          <w:b w:val="false"/>
          <w:i w:val="false"/>
          <w:color w:val="000000"/>
          <w:sz w:val="28"/>
        </w:rPr>
        <w:t>
      плотность или относительная плотность (для парентеральных, мягких, жидких и трансдермальных лекарственных форм);</w:t>
      </w:r>
    </w:p>
    <w:bookmarkEnd w:id="168"/>
    <w:bookmarkStart w:name="z176" w:id="169"/>
    <w:p>
      <w:pPr>
        <w:spacing w:after="0"/>
        <w:ind w:left="0"/>
        <w:jc w:val="both"/>
      </w:pPr>
      <w:r>
        <w:rPr>
          <w:rFonts w:ascii="Times New Roman"/>
          <w:b w:val="false"/>
          <w:i w:val="false"/>
          <w:color w:val="000000"/>
          <w:sz w:val="28"/>
        </w:rPr>
        <w:t>
      вязкость и (или) вязкоупругость (для парентеральных, мягких, жидких и трансдермальных лекарственных форм);</w:t>
      </w:r>
    </w:p>
    <w:bookmarkEnd w:id="169"/>
    <w:bookmarkStart w:name="z177" w:id="170"/>
    <w:p>
      <w:pPr>
        <w:spacing w:after="0"/>
        <w:ind w:left="0"/>
        <w:jc w:val="both"/>
      </w:pPr>
      <w:r>
        <w:rPr>
          <w:rFonts w:ascii="Times New Roman"/>
          <w:b w:val="false"/>
          <w:i w:val="false"/>
          <w:color w:val="000000"/>
          <w:sz w:val="28"/>
        </w:rPr>
        <w:t>
      осмоляльность (для парентеральных лекарственных форм);</w:t>
      </w:r>
    </w:p>
    <w:bookmarkEnd w:id="170"/>
    <w:bookmarkStart w:name="z178" w:id="171"/>
    <w:p>
      <w:pPr>
        <w:spacing w:after="0"/>
        <w:ind w:left="0"/>
        <w:jc w:val="both"/>
      </w:pPr>
      <w:r>
        <w:rPr>
          <w:rFonts w:ascii="Times New Roman"/>
          <w:b w:val="false"/>
          <w:i w:val="false"/>
          <w:color w:val="000000"/>
          <w:sz w:val="28"/>
        </w:rPr>
        <w:t>
      содержание воды, включая данные по кристаллизационной воде и гигроскопичности, а также особые требования по хранению и использованию (для твердых и ингаляционных лекарственных форм);</w:t>
      </w:r>
    </w:p>
    <w:bookmarkEnd w:id="171"/>
    <w:bookmarkStart w:name="z179" w:id="172"/>
    <w:p>
      <w:pPr>
        <w:spacing w:after="0"/>
        <w:ind w:left="0"/>
        <w:jc w:val="both"/>
      </w:pPr>
      <w:r>
        <w:rPr>
          <w:rFonts w:ascii="Times New Roman"/>
          <w:b w:val="false"/>
          <w:i w:val="false"/>
          <w:color w:val="000000"/>
          <w:sz w:val="28"/>
        </w:rPr>
        <w:t>
      диапазон содержания влаги (для лиофилизатов, неводных растворов, мягких и трансдермальных лекарственных форм);</w:t>
      </w:r>
    </w:p>
    <w:bookmarkEnd w:id="172"/>
    <w:bookmarkStart w:name="z180" w:id="173"/>
    <w:p>
      <w:pPr>
        <w:spacing w:after="0"/>
        <w:ind w:left="0"/>
        <w:jc w:val="both"/>
      </w:pPr>
      <w:r>
        <w:rPr>
          <w:rFonts w:ascii="Times New Roman"/>
          <w:b w:val="false"/>
          <w:i w:val="false"/>
          <w:color w:val="000000"/>
          <w:sz w:val="28"/>
        </w:rPr>
        <w:t>
      микробиологические показатели (включая микробиологическую чистоту, стерильность, концентрацию бактериальных эндотоксинов и бионагрузку, если вспомогательное вещество не обладает антимикробным, бактериостатическим действием) в соответствии с требованиями Фармакопеи Союза, фармакопей государств-членов или основных фармакопей в соответствии с Концепцией, если это требуется общими и (или) частными фармакопейными статьями (монографиями);</w:t>
      </w:r>
    </w:p>
    <w:bookmarkEnd w:id="173"/>
    <w:bookmarkStart w:name="z181" w:id="174"/>
    <w:p>
      <w:pPr>
        <w:spacing w:after="0"/>
        <w:ind w:left="0"/>
        <w:jc w:val="both"/>
      </w:pPr>
      <w:r>
        <w:rPr>
          <w:rFonts w:ascii="Times New Roman"/>
          <w:b w:val="false"/>
          <w:i w:val="false"/>
          <w:color w:val="000000"/>
          <w:sz w:val="28"/>
        </w:rPr>
        <w:t>
      спецификации на выпуск, спецификации на срок годности и их обоснование;</w:t>
      </w:r>
    </w:p>
    <w:bookmarkEnd w:id="174"/>
    <w:bookmarkStart w:name="z182" w:id="175"/>
    <w:p>
      <w:pPr>
        <w:spacing w:after="0"/>
        <w:ind w:left="0"/>
        <w:jc w:val="both"/>
      </w:pPr>
      <w:r>
        <w:rPr>
          <w:rFonts w:ascii="Times New Roman"/>
          <w:b w:val="false"/>
          <w:i w:val="false"/>
          <w:color w:val="000000"/>
          <w:sz w:val="28"/>
        </w:rPr>
        <w:t>
      информацию по связывающим веществам, подтверждающую соответствие проектным критериям по отслаиванию и адгезии;</w:t>
      </w:r>
    </w:p>
    <w:bookmarkEnd w:id="175"/>
    <w:bookmarkStart w:name="z183" w:id="176"/>
    <w:p>
      <w:pPr>
        <w:spacing w:after="0"/>
        <w:ind w:left="0"/>
        <w:jc w:val="both"/>
      </w:pPr>
      <w:r>
        <w:rPr>
          <w:rFonts w:ascii="Times New Roman"/>
          <w:b w:val="false"/>
          <w:i w:val="false"/>
          <w:color w:val="000000"/>
          <w:sz w:val="28"/>
        </w:rPr>
        <w:t>
      требования к содержанию примесей (в том числе остаточное содержание металлов);</w:t>
      </w:r>
    </w:p>
    <w:bookmarkEnd w:id="176"/>
    <w:bookmarkStart w:name="z184" w:id="177"/>
    <w:p>
      <w:pPr>
        <w:spacing w:after="0"/>
        <w:ind w:left="0"/>
        <w:jc w:val="both"/>
      </w:pPr>
      <w:r>
        <w:rPr>
          <w:rFonts w:ascii="Times New Roman"/>
          <w:b w:val="false"/>
          <w:i w:val="false"/>
          <w:color w:val="000000"/>
          <w:sz w:val="28"/>
        </w:rPr>
        <w:t xml:space="preserve">
      особые характеристики, влияющие на условия хранения и (или) обращения вспомогательных веществ, факторы безопасности для окружающей среды (например, специфические данные безопасности материалов, а также чувствительность к теплу, свету или влажности и т. д.); </w:t>
      </w:r>
    </w:p>
    <w:bookmarkEnd w:id="177"/>
    <w:bookmarkStart w:name="z185" w:id="178"/>
    <w:p>
      <w:pPr>
        <w:spacing w:after="0"/>
        <w:ind w:left="0"/>
        <w:jc w:val="both"/>
      </w:pPr>
      <w:r>
        <w:rPr>
          <w:rFonts w:ascii="Times New Roman"/>
          <w:b w:val="false"/>
          <w:i w:val="false"/>
          <w:color w:val="000000"/>
          <w:sz w:val="28"/>
        </w:rPr>
        <w:t>
      иные требования нормативных правовых актов в отношении вспомогательных веществ (например, документация по поддержанию соответствия сертификационным требованиям по передаваемой энцефалопатии крупного рогатого скота (если применимо)).</w:t>
      </w:r>
    </w:p>
    <w:bookmarkEnd w:id="178"/>
    <w:bookmarkStart w:name="z186" w:id="179"/>
    <w:p>
      <w:pPr>
        <w:spacing w:after="0"/>
        <w:ind w:left="0"/>
        <w:jc w:val="left"/>
      </w:pPr>
      <w:r>
        <w:rPr>
          <w:rFonts w:ascii="Times New Roman"/>
          <w:b/>
          <w:i w:val="false"/>
          <w:color w:val="000000"/>
        </w:rPr>
        <w:t xml:space="preserve"> Информация о процессе производства и готовой продукции </w:t>
      </w:r>
    </w:p>
    <w:bookmarkEnd w:id="179"/>
    <w:bookmarkStart w:name="z187" w:id="180"/>
    <w:p>
      <w:pPr>
        <w:spacing w:after="0"/>
        <w:ind w:left="0"/>
        <w:jc w:val="both"/>
      </w:pPr>
      <w:r>
        <w:rPr>
          <w:rFonts w:ascii="Times New Roman"/>
          <w:b w:val="false"/>
          <w:i w:val="false"/>
          <w:color w:val="000000"/>
          <w:sz w:val="28"/>
        </w:rPr>
        <w:t>
      39. Передающая сторона предоставляет подробную характеристику готовой продукции, включая информацию о ее качественном и количественном составе, физическое описание, информацию о методе производства, контроле качества в процессе производства (внутрипроизводственном (межоперационном) контроле), методиках контроля и спецификациях, упаковочных компонентах и конфигурациях упаковки, а также информацию о безопасности и условиях обращения готовой продукции.</w:t>
      </w:r>
    </w:p>
    <w:bookmarkEnd w:id="180"/>
    <w:bookmarkStart w:name="z188" w:id="181"/>
    <w:p>
      <w:pPr>
        <w:spacing w:after="0"/>
        <w:ind w:left="0"/>
        <w:jc w:val="both"/>
      </w:pPr>
      <w:r>
        <w:rPr>
          <w:rFonts w:ascii="Times New Roman"/>
          <w:b w:val="false"/>
          <w:i w:val="false"/>
          <w:color w:val="000000"/>
          <w:sz w:val="28"/>
        </w:rPr>
        <w:t xml:space="preserve">
      40. В целях успешного осуществления трансфера и в последующем работы по оптимизации и улучшению процесса производства передающая сторона предоставляет принимающей стороне информацию о разработке процесса производства, в том числе: </w:t>
      </w:r>
    </w:p>
    <w:bookmarkEnd w:id="181"/>
    <w:bookmarkStart w:name="z189" w:id="182"/>
    <w:p>
      <w:pPr>
        <w:spacing w:after="0"/>
        <w:ind w:left="0"/>
        <w:jc w:val="both"/>
      </w:pPr>
      <w:r>
        <w:rPr>
          <w:rFonts w:ascii="Times New Roman"/>
          <w:b w:val="false"/>
          <w:i w:val="false"/>
          <w:color w:val="000000"/>
          <w:sz w:val="28"/>
        </w:rPr>
        <w:t>
      о клинической разработке лекарственного средства (например, информацию по обоснованию синтеза активной фармацевтической субстанции, выбору лекарственной формы, выбору технологии, оборудования, клиническим исследованиям (при необходимости) и составу лекарственного средства);</w:t>
      </w:r>
    </w:p>
    <w:bookmarkEnd w:id="182"/>
    <w:bookmarkStart w:name="z190" w:id="183"/>
    <w:p>
      <w:pPr>
        <w:spacing w:after="0"/>
        <w:ind w:left="0"/>
        <w:jc w:val="both"/>
      </w:pPr>
      <w:r>
        <w:rPr>
          <w:rFonts w:ascii="Times New Roman"/>
          <w:b w:val="false"/>
          <w:i w:val="false"/>
          <w:color w:val="000000"/>
          <w:sz w:val="28"/>
        </w:rPr>
        <w:t>
      об операциях по масштабированию (например, об оптимизации процесса производства, статистической оптимизации критических параметров процесса производства, критических показателей качества лекарственного средства и производственного процесса, отчет по результатам производства опытно-промышленных (пилотных) серий и (или) информацию об операциях по разработке лабораторной серии лекарственного средства);</w:t>
      </w:r>
    </w:p>
    <w:bookmarkEnd w:id="183"/>
    <w:bookmarkStart w:name="z191" w:id="184"/>
    <w:p>
      <w:pPr>
        <w:spacing w:after="0"/>
        <w:ind w:left="0"/>
        <w:jc w:val="both"/>
      </w:pPr>
      <w:r>
        <w:rPr>
          <w:rFonts w:ascii="Times New Roman"/>
          <w:b w:val="false"/>
          <w:i w:val="false"/>
          <w:color w:val="000000"/>
          <w:sz w:val="28"/>
        </w:rPr>
        <w:t>
      об операциях по разработке серии (серий) лекарственного средства в промышленном масштабе, включая количество и качество произведенных серий, а также отчеты по контролю отклонений и изменений, которые привели к действующему процессу производства;</w:t>
      </w:r>
    </w:p>
    <w:bookmarkEnd w:id="184"/>
    <w:bookmarkStart w:name="z192" w:id="185"/>
    <w:p>
      <w:pPr>
        <w:spacing w:after="0"/>
        <w:ind w:left="0"/>
        <w:jc w:val="both"/>
      </w:pPr>
      <w:r>
        <w:rPr>
          <w:rFonts w:ascii="Times New Roman"/>
          <w:b w:val="false"/>
          <w:i w:val="false"/>
          <w:color w:val="000000"/>
          <w:sz w:val="28"/>
        </w:rPr>
        <w:t>
      об истории изменений и причинах их возникновения (например, сведения из журнала регистрации контроля изменений, содержащего изменения в отношении процесса производства, первичной упаковки или аналитических методик в качестве компонента оптимизации и улучшения процесса производства);</w:t>
      </w:r>
    </w:p>
    <w:bookmarkEnd w:id="185"/>
    <w:bookmarkStart w:name="z193" w:id="186"/>
    <w:p>
      <w:pPr>
        <w:spacing w:after="0"/>
        <w:ind w:left="0"/>
        <w:jc w:val="both"/>
      </w:pPr>
      <w:r>
        <w:rPr>
          <w:rFonts w:ascii="Times New Roman"/>
          <w:b w:val="false"/>
          <w:i w:val="false"/>
          <w:color w:val="000000"/>
          <w:sz w:val="28"/>
        </w:rPr>
        <w:t xml:space="preserve">
      о расследовании отклонений и результатах таких расследований. </w:t>
      </w:r>
    </w:p>
    <w:bookmarkEnd w:id="186"/>
    <w:bookmarkStart w:name="z194" w:id="187"/>
    <w:p>
      <w:pPr>
        <w:spacing w:after="0"/>
        <w:ind w:left="0"/>
        <w:jc w:val="both"/>
      </w:pPr>
      <w:r>
        <w:rPr>
          <w:rFonts w:ascii="Times New Roman"/>
          <w:b w:val="false"/>
          <w:i w:val="false"/>
          <w:color w:val="000000"/>
          <w:sz w:val="28"/>
        </w:rPr>
        <w:t>
      41. Передающая сторона предоставляет принимающей стороне информацию по всем аспектам безопасности, охране здоровья и окружающей среды, связанную с передаваемыми процессами производства (например, необходимость использования средств индивидуальной защиты или специальных изоляторов при работе с опасными материалами).</w:t>
      </w:r>
    </w:p>
    <w:bookmarkEnd w:id="187"/>
    <w:bookmarkStart w:name="z195" w:id="188"/>
    <w:p>
      <w:pPr>
        <w:spacing w:after="0"/>
        <w:ind w:left="0"/>
        <w:jc w:val="both"/>
      </w:pPr>
      <w:r>
        <w:rPr>
          <w:rFonts w:ascii="Times New Roman"/>
          <w:b w:val="false"/>
          <w:i w:val="false"/>
          <w:color w:val="000000"/>
          <w:sz w:val="28"/>
        </w:rPr>
        <w:t>
      42. Передающая сторона предоставляет принимающей стороне следующую информацию о лекарственном средстве, технологии его производства и испытаниях:</w:t>
      </w:r>
    </w:p>
    <w:bookmarkEnd w:id="188"/>
    <w:bookmarkStart w:name="z196" w:id="189"/>
    <w:p>
      <w:pPr>
        <w:spacing w:after="0"/>
        <w:ind w:left="0"/>
        <w:jc w:val="both"/>
      </w:pPr>
      <w:r>
        <w:rPr>
          <w:rFonts w:ascii="Times New Roman"/>
          <w:b w:val="false"/>
          <w:i w:val="false"/>
          <w:color w:val="000000"/>
          <w:sz w:val="28"/>
        </w:rPr>
        <w:t>
      требования (с их детальным описанием) к производственным помещениям, технологическому оборудованию и инженерным системам, включая условия производственной среды или любые особые требования, необходимые для производственных помещений, оборудования и инженерных систем (в зависимости от физико-химических свойств активной фармацевтической субстанции и характеристик передаваемого лекарственного средства);</w:t>
      </w:r>
    </w:p>
    <w:bookmarkEnd w:id="189"/>
    <w:bookmarkStart w:name="z197" w:id="190"/>
    <w:p>
      <w:pPr>
        <w:spacing w:after="0"/>
        <w:ind w:left="0"/>
        <w:jc w:val="both"/>
      </w:pPr>
      <w:r>
        <w:rPr>
          <w:rFonts w:ascii="Times New Roman"/>
          <w:b w:val="false"/>
          <w:i w:val="false"/>
          <w:color w:val="000000"/>
          <w:sz w:val="28"/>
        </w:rPr>
        <w:t>
      об исходном сырье и материалах, паспортах безопасности, а также требования к хранению сырья, материалов, промежуточной продукции, нерасфасованной продукции и готовой продукции;</w:t>
      </w:r>
    </w:p>
    <w:bookmarkEnd w:id="190"/>
    <w:bookmarkStart w:name="z198" w:id="191"/>
    <w:p>
      <w:pPr>
        <w:spacing w:after="0"/>
        <w:ind w:left="0"/>
        <w:jc w:val="both"/>
      </w:pPr>
      <w:r>
        <w:rPr>
          <w:rFonts w:ascii="Times New Roman"/>
          <w:b w:val="false"/>
          <w:i w:val="false"/>
          <w:color w:val="000000"/>
          <w:sz w:val="28"/>
        </w:rPr>
        <w:t>
      описание производственных этапов (производственная рецептура, пояснительные текстовые и технологические карты, блок-схемы или технологические инструкции, инструкции по упаковке), включая время хранения промежуточной продукции в процессе производства, заказ сырья, материалов и методы их добавления, а также передачу промежуточной продукции с одной технологической стадии на другую;</w:t>
      </w:r>
    </w:p>
    <w:bookmarkEnd w:id="191"/>
    <w:bookmarkStart w:name="z199" w:id="192"/>
    <w:p>
      <w:pPr>
        <w:spacing w:after="0"/>
        <w:ind w:left="0"/>
        <w:jc w:val="both"/>
      </w:pPr>
      <w:r>
        <w:rPr>
          <w:rFonts w:ascii="Times New Roman"/>
          <w:b w:val="false"/>
          <w:i w:val="false"/>
          <w:color w:val="000000"/>
          <w:sz w:val="28"/>
        </w:rPr>
        <w:t>
      формулу пересчета требуемого количества активной фармацевтической субстанции для производства готовой продукции на основании содержания основного вещества;</w:t>
      </w:r>
    </w:p>
    <w:bookmarkEnd w:id="192"/>
    <w:bookmarkStart w:name="z200" w:id="193"/>
    <w:p>
      <w:pPr>
        <w:spacing w:after="0"/>
        <w:ind w:left="0"/>
        <w:jc w:val="both"/>
      </w:pPr>
      <w:r>
        <w:rPr>
          <w:rFonts w:ascii="Times New Roman"/>
          <w:b w:val="false"/>
          <w:i w:val="false"/>
          <w:color w:val="000000"/>
          <w:sz w:val="28"/>
        </w:rPr>
        <w:t>
      об объемах производства и размерах серий (например, масштабированные серии или производство кампаниями);</w:t>
      </w:r>
    </w:p>
    <w:bookmarkEnd w:id="193"/>
    <w:bookmarkStart w:name="z201" w:id="194"/>
    <w:p>
      <w:pPr>
        <w:spacing w:after="0"/>
        <w:ind w:left="0"/>
        <w:jc w:val="both"/>
      </w:pPr>
      <w:r>
        <w:rPr>
          <w:rFonts w:ascii="Times New Roman"/>
          <w:b w:val="false"/>
          <w:i w:val="false"/>
          <w:color w:val="000000"/>
          <w:sz w:val="28"/>
        </w:rPr>
        <w:t>
      описание аналитических методик;</w:t>
      </w:r>
    </w:p>
    <w:bookmarkEnd w:id="194"/>
    <w:bookmarkStart w:name="z202" w:id="195"/>
    <w:p>
      <w:pPr>
        <w:spacing w:after="0"/>
        <w:ind w:left="0"/>
        <w:jc w:val="both"/>
      </w:pPr>
      <w:r>
        <w:rPr>
          <w:rFonts w:ascii="Times New Roman"/>
          <w:b w:val="false"/>
          <w:i w:val="false"/>
          <w:color w:val="000000"/>
          <w:sz w:val="28"/>
        </w:rPr>
        <w:t>
      определение и обоснование стратегии контроля (например, определение критических показателей качества для специфических лекарственных форм, определение контрольных технологических точек, требования к качеству продукции, квалификация диапазонов критических параметров процесса, карты статистического контроля, описание внутрипроизводственного (межоперационного) контроля);</w:t>
      </w:r>
    </w:p>
    <w:bookmarkEnd w:id="195"/>
    <w:bookmarkStart w:name="z203" w:id="196"/>
    <w:p>
      <w:pPr>
        <w:spacing w:after="0"/>
        <w:ind w:left="0"/>
        <w:jc w:val="both"/>
      </w:pPr>
      <w:r>
        <w:rPr>
          <w:rFonts w:ascii="Times New Roman"/>
          <w:b w:val="false"/>
          <w:i w:val="false"/>
          <w:color w:val="000000"/>
          <w:sz w:val="28"/>
        </w:rPr>
        <w:t>
      проектное поле (пространство проектных параметров) в случаях, если это было определено в плане трансфера (например, оценка рисков, экспериментальные данные, модели, которые были статистически оценены и проверены в полном масштабе, применимость пространства проектных параметров для использования в промышленном масштабе путем применения коэффициентов масштабирования или независимых экспериментов, или путем подтверждения независимости параметров от масштаба серии, доказательства соответствия всех показателей качества продукта установленным критериям);</w:t>
      </w:r>
    </w:p>
    <w:bookmarkEnd w:id="196"/>
    <w:bookmarkStart w:name="z204" w:id="197"/>
    <w:p>
      <w:pPr>
        <w:spacing w:after="0"/>
        <w:ind w:left="0"/>
        <w:jc w:val="both"/>
      </w:pPr>
      <w:r>
        <w:rPr>
          <w:rFonts w:ascii="Times New Roman"/>
          <w:b w:val="false"/>
          <w:i w:val="false"/>
          <w:color w:val="000000"/>
          <w:sz w:val="28"/>
        </w:rPr>
        <w:t>
      о валидации процесса (например, валидационные протоколы и валидационные отчеты);</w:t>
      </w:r>
    </w:p>
    <w:bookmarkEnd w:id="197"/>
    <w:bookmarkStart w:name="z205" w:id="198"/>
    <w:p>
      <w:pPr>
        <w:spacing w:after="0"/>
        <w:ind w:left="0"/>
        <w:jc w:val="both"/>
      </w:pPr>
      <w:r>
        <w:rPr>
          <w:rFonts w:ascii="Times New Roman"/>
          <w:b w:val="false"/>
          <w:i w:val="false"/>
          <w:color w:val="000000"/>
          <w:sz w:val="28"/>
        </w:rPr>
        <w:t>
      ежегодные обзоры качества продукции;</w:t>
      </w:r>
    </w:p>
    <w:bookmarkEnd w:id="198"/>
    <w:bookmarkStart w:name="z206" w:id="199"/>
    <w:p>
      <w:pPr>
        <w:spacing w:after="0"/>
        <w:ind w:left="0"/>
        <w:jc w:val="both"/>
      </w:pPr>
      <w:r>
        <w:rPr>
          <w:rFonts w:ascii="Times New Roman"/>
          <w:b w:val="false"/>
          <w:i w:val="false"/>
          <w:color w:val="000000"/>
          <w:sz w:val="28"/>
        </w:rPr>
        <w:t>
      информацию по стабильности готовой продукции и (или) промежуточной продукции и (или) нерасфасованной продукции;</w:t>
      </w:r>
    </w:p>
    <w:bookmarkEnd w:id="199"/>
    <w:bookmarkStart w:name="z207" w:id="200"/>
    <w:p>
      <w:pPr>
        <w:spacing w:after="0"/>
        <w:ind w:left="0"/>
        <w:jc w:val="both"/>
      </w:pPr>
      <w:r>
        <w:rPr>
          <w:rFonts w:ascii="Times New Roman"/>
          <w:b w:val="false"/>
          <w:i w:val="false"/>
          <w:color w:val="000000"/>
          <w:sz w:val="28"/>
        </w:rPr>
        <w:t>
      утвержденный перечень протоколов и стандартных операционных процедур по производству;</w:t>
      </w:r>
    </w:p>
    <w:bookmarkEnd w:id="200"/>
    <w:bookmarkStart w:name="z208" w:id="201"/>
    <w:p>
      <w:pPr>
        <w:spacing w:after="0"/>
        <w:ind w:left="0"/>
        <w:jc w:val="both"/>
      </w:pPr>
      <w:r>
        <w:rPr>
          <w:rFonts w:ascii="Times New Roman"/>
          <w:b w:val="false"/>
          <w:i w:val="false"/>
          <w:color w:val="000000"/>
          <w:sz w:val="28"/>
        </w:rPr>
        <w:t>
      иные важные для процесса производства и контроля качества лекарственного средства сведения.</w:t>
      </w:r>
    </w:p>
    <w:bookmarkEnd w:id="201"/>
    <w:bookmarkStart w:name="z209" w:id="202"/>
    <w:p>
      <w:pPr>
        <w:spacing w:after="0"/>
        <w:ind w:left="0"/>
        <w:jc w:val="left"/>
      </w:pPr>
      <w:r>
        <w:rPr>
          <w:rFonts w:ascii="Times New Roman"/>
          <w:b/>
          <w:i w:val="false"/>
          <w:color w:val="000000"/>
        </w:rPr>
        <w:t xml:space="preserve"> Анализ расхождений</w:t>
      </w:r>
    </w:p>
    <w:bookmarkEnd w:id="202"/>
    <w:bookmarkStart w:name="z210" w:id="203"/>
    <w:p>
      <w:pPr>
        <w:spacing w:after="0"/>
        <w:ind w:left="0"/>
        <w:jc w:val="both"/>
      </w:pPr>
      <w:r>
        <w:rPr>
          <w:rFonts w:ascii="Times New Roman"/>
          <w:b w:val="false"/>
          <w:i w:val="false"/>
          <w:color w:val="000000"/>
          <w:sz w:val="28"/>
        </w:rPr>
        <w:t xml:space="preserve">
      43. Процессы, оказывающие влияние на параметры и протекание технологического процесса или качество лекарственного средства, должны быть определены, охарактеризованы и документированы. Принимающая сторона на основании информации, полученной от передающей стороны, анализирует свои технические возможности по производству и упаковке лекарственных средств и разрабатывает соответствующие рабочие процедуры и документацию предприятия до начала производства опытно-промышленных (пилотных) и (или) инженерных серий. </w:t>
      </w:r>
    </w:p>
    <w:bookmarkEnd w:id="203"/>
    <w:bookmarkStart w:name="z211" w:id="204"/>
    <w:p>
      <w:pPr>
        <w:spacing w:after="0"/>
        <w:ind w:left="0"/>
        <w:jc w:val="both"/>
      </w:pPr>
      <w:r>
        <w:rPr>
          <w:rFonts w:ascii="Times New Roman"/>
          <w:b w:val="false"/>
          <w:i w:val="false"/>
          <w:color w:val="000000"/>
          <w:sz w:val="28"/>
        </w:rPr>
        <w:t xml:space="preserve">
      44. Передающая сторона (или третья сторона) совместно с принимающей стороной до начала трансфера оценивает соответствие и степень готовности принимающей стороны (gap analysis) с целью последующей корректировки или нивелирования влияния расхождений на качество лекарственного средства. Такая оценка проводится в отношении производственных помещений, оборудования, персонала, системы качества, вспомогательных услуг (например, в отношении процедуры закупок, процедуры контроля качества, в том числе внутрипроизводственного (межоперационного) контроля, системы документации, валидации аналитических методик, валидации компьютеризированных систем, процедуры очистки, квалификации помещений, квалификации оборудования, получения воды для фармацевтического производства и ее качества, порядка обращения с производственными отходами, транспортировки). </w:t>
      </w:r>
    </w:p>
    <w:bookmarkEnd w:id="204"/>
    <w:bookmarkStart w:name="z212" w:id="205"/>
    <w:p>
      <w:pPr>
        <w:spacing w:after="0"/>
        <w:ind w:left="0"/>
        <w:jc w:val="both"/>
      </w:pPr>
      <w:r>
        <w:rPr>
          <w:rFonts w:ascii="Times New Roman"/>
          <w:b w:val="false"/>
          <w:i w:val="false"/>
          <w:color w:val="000000"/>
          <w:sz w:val="28"/>
        </w:rPr>
        <w:t>
      45. В случае выявления расхождений определяется их критичность для лекарственного средства и процесса производства и разрабатывается план мероприятий по устранению или нивелированию влияния расхождений, а также определяются условия для гарантии эквивалентного качества лекарственного средства.</w:t>
      </w:r>
    </w:p>
    <w:bookmarkEnd w:id="205"/>
    <w:bookmarkStart w:name="z213" w:id="206"/>
    <w:p>
      <w:pPr>
        <w:spacing w:after="0"/>
        <w:ind w:left="0"/>
        <w:jc w:val="left"/>
      </w:pPr>
      <w:r>
        <w:rPr>
          <w:rFonts w:ascii="Times New Roman"/>
          <w:b/>
          <w:i w:val="false"/>
          <w:color w:val="000000"/>
        </w:rPr>
        <w:t xml:space="preserve"> Операции по упаковке и упаковочные материалы</w:t>
      </w:r>
    </w:p>
    <w:bookmarkEnd w:id="206"/>
    <w:bookmarkStart w:name="z214" w:id="207"/>
    <w:p>
      <w:pPr>
        <w:spacing w:after="0"/>
        <w:ind w:left="0"/>
        <w:jc w:val="both"/>
      </w:pPr>
      <w:r>
        <w:rPr>
          <w:rFonts w:ascii="Times New Roman"/>
          <w:b w:val="false"/>
          <w:i w:val="false"/>
          <w:color w:val="000000"/>
          <w:sz w:val="28"/>
        </w:rPr>
        <w:t>
      46. Этапы трансфера операций по упаковке должны соответствовать этапам трансфера производства полного цикла.</w:t>
      </w:r>
    </w:p>
    <w:bookmarkEnd w:id="207"/>
    <w:bookmarkStart w:name="z215" w:id="208"/>
    <w:p>
      <w:pPr>
        <w:spacing w:after="0"/>
        <w:ind w:left="0"/>
        <w:jc w:val="both"/>
      </w:pPr>
      <w:r>
        <w:rPr>
          <w:rFonts w:ascii="Times New Roman"/>
          <w:b w:val="false"/>
          <w:i w:val="false"/>
          <w:color w:val="000000"/>
          <w:sz w:val="28"/>
        </w:rPr>
        <w:t>
      47. Передающая сторона предоставляет принимающей стороне информацию по упаковке, которая включает в себя спецификации на материалы первичной и (или) вторичной упаковки, требования к производству, дизайну упаковки и маркировке, а также информацию о мероприятиях по контролю первого вскрытия и мероприятиях по предупреждению фальсификации продукции, необходимых для квалификации упаковочных материалов на площадке принимающей стороны.</w:t>
      </w:r>
    </w:p>
    <w:bookmarkEnd w:id="208"/>
    <w:bookmarkStart w:name="z216" w:id="209"/>
    <w:p>
      <w:pPr>
        <w:spacing w:after="0"/>
        <w:ind w:left="0"/>
        <w:jc w:val="both"/>
      </w:pPr>
      <w:r>
        <w:rPr>
          <w:rFonts w:ascii="Times New Roman"/>
          <w:b w:val="false"/>
          <w:i w:val="false"/>
          <w:color w:val="000000"/>
          <w:sz w:val="28"/>
        </w:rPr>
        <w:t xml:space="preserve">
      48. Для контроля упаковочных материалов представляются спецификации на первичную и вторичную упаковку и макеты для первичной и вторичной упаковки. </w:t>
      </w:r>
    </w:p>
    <w:bookmarkEnd w:id="209"/>
    <w:bookmarkStart w:name="z217" w:id="210"/>
    <w:p>
      <w:pPr>
        <w:spacing w:after="0"/>
        <w:ind w:left="0"/>
        <w:jc w:val="both"/>
      </w:pPr>
      <w:r>
        <w:rPr>
          <w:rFonts w:ascii="Times New Roman"/>
          <w:b w:val="false"/>
          <w:i w:val="false"/>
          <w:color w:val="000000"/>
          <w:sz w:val="28"/>
        </w:rPr>
        <w:t>
      49. В случае если принимающая сторона по объективным причинам не может использовать заявленные передающей стороной упаковочные материалы, необходимо осуществить выбор максимально приближенных по характеристикам упаковочных материалов и на основании представленной информации провести изучение пригодности этих упаковочных материалов с целью их первичной квалификации.</w:t>
      </w:r>
    </w:p>
    <w:bookmarkEnd w:id="210"/>
    <w:bookmarkStart w:name="z218" w:id="211"/>
    <w:p>
      <w:pPr>
        <w:spacing w:after="0"/>
        <w:ind w:left="0"/>
        <w:jc w:val="both"/>
      </w:pPr>
      <w:r>
        <w:rPr>
          <w:rFonts w:ascii="Times New Roman"/>
          <w:b w:val="false"/>
          <w:i w:val="false"/>
          <w:color w:val="000000"/>
          <w:sz w:val="28"/>
        </w:rPr>
        <w:t xml:space="preserve">
      Упаковочные материалы считаются пригодными, если они обеспечивают соответствующую степень защиты лекарственного средства от неблагоприятного воздействия факторов внешней среды, способных повлиять на качество или эффективность лекарственного средства (например, свет, температура, атмосферные газы и пары воздуха (кислород, углерода оксиды, влага и др.)), безопасность (отсутствие выделения нежелательных веществ), совместимость (отсутствие сорбции компонентов лекарственного средства) и функциональность с точки зрения доставки лекарственного средства. </w:t>
      </w:r>
    </w:p>
    <w:bookmarkEnd w:id="211"/>
    <w:p>
      <w:pPr>
        <w:spacing w:after="0"/>
        <w:ind w:left="0"/>
        <w:jc w:val="both"/>
      </w:pPr>
      <w:bookmarkStart w:name="z219" w:id="212"/>
      <w:r>
        <w:rPr>
          <w:rFonts w:ascii="Times New Roman"/>
          <w:b w:val="false"/>
          <w:i w:val="false"/>
          <w:color w:val="000000"/>
          <w:sz w:val="28"/>
        </w:rPr>
        <w:t xml:space="preserve">
      Упаковка должна защищать лекарственное средство от повреждения физическими факторами (например, от механического воздействия, воздействия света, ультрафиолетового излучения, влажности и т. д. (при необходимости)) и химической модификации </w:t>
      </w:r>
    </w:p>
    <w:bookmarkEnd w:id="212"/>
    <w:p>
      <w:pPr>
        <w:spacing w:after="0"/>
        <w:ind w:left="0"/>
        <w:jc w:val="both"/>
      </w:pPr>
      <w:r>
        <w:rPr>
          <w:rFonts w:ascii="Times New Roman"/>
          <w:b w:val="false"/>
          <w:i w:val="false"/>
          <w:color w:val="000000"/>
          <w:sz w:val="28"/>
        </w:rPr>
        <w:t xml:space="preserve">(например, окисления кислородом воздуха, при необходимости). </w:t>
      </w:r>
    </w:p>
    <w:p>
      <w:pPr>
        <w:spacing w:after="0"/>
        <w:ind w:left="0"/>
        <w:jc w:val="both"/>
      </w:pPr>
      <w:r>
        <w:rPr>
          <w:rFonts w:ascii="Times New Roman"/>
          <w:b w:val="false"/>
          <w:i w:val="false"/>
          <w:color w:val="000000"/>
          <w:sz w:val="28"/>
        </w:rPr>
        <w:t>В случае если лекарственное средство подвержено негативному воздействию вышеперечисленных факторов, требуется проведение исследований влияния первичных упаковочных материалов на стабильность лекарственного средства.</w:t>
      </w:r>
    </w:p>
    <w:bookmarkStart w:name="z220" w:id="213"/>
    <w:p>
      <w:pPr>
        <w:spacing w:after="0"/>
        <w:ind w:left="0"/>
        <w:jc w:val="left"/>
      </w:pPr>
      <w:r>
        <w:rPr>
          <w:rFonts w:ascii="Times New Roman"/>
          <w:b/>
          <w:i w:val="false"/>
          <w:color w:val="000000"/>
        </w:rPr>
        <w:t xml:space="preserve"> Производственные помещения и оборудование</w:t>
      </w:r>
    </w:p>
    <w:bookmarkEnd w:id="213"/>
    <w:bookmarkStart w:name="z221" w:id="214"/>
    <w:p>
      <w:pPr>
        <w:spacing w:after="0"/>
        <w:ind w:left="0"/>
        <w:jc w:val="left"/>
      </w:pPr>
      <w:r>
        <w:rPr>
          <w:rFonts w:ascii="Times New Roman"/>
          <w:b/>
          <w:i w:val="false"/>
          <w:color w:val="000000"/>
        </w:rPr>
        <w:t xml:space="preserve"> Производственные помещения</w:t>
      </w:r>
    </w:p>
    <w:bookmarkEnd w:id="214"/>
    <w:bookmarkStart w:name="z222" w:id="215"/>
    <w:p>
      <w:pPr>
        <w:spacing w:after="0"/>
        <w:ind w:left="0"/>
        <w:jc w:val="both"/>
      </w:pPr>
      <w:r>
        <w:rPr>
          <w:rFonts w:ascii="Times New Roman"/>
          <w:b w:val="false"/>
          <w:i w:val="false"/>
          <w:color w:val="000000"/>
          <w:sz w:val="28"/>
        </w:rPr>
        <w:t>
      50. Передающая сторона представляет принимающей стороне информацию о планировке, конструкции и финишной отделке помещений, информацию об инженерных системах (системах нагрева, вентиляции и кондиционирования воздуха (HVAC), температуре, относительной влажности, системе водоснабжения, электроснабжения и сжатого воздуха), которые могут оказывать влияние на продукцию, процессы или методики.</w:t>
      </w:r>
    </w:p>
    <w:bookmarkEnd w:id="215"/>
    <w:bookmarkStart w:name="z223" w:id="216"/>
    <w:p>
      <w:pPr>
        <w:spacing w:after="0"/>
        <w:ind w:left="0"/>
        <w:jc w:val="both"/>
      </w:pPr>
      <w:r>
        <w:rPr>
          <w:rFonts w:ascii="Times New Roman"/>
          <w:b w:val="false"/>
          <w:i w:val="false"/>
          <w:color w:val="000000"/>
          <w:sz w:val="28"/>
        </w:rPr>
        <w:t>
      51. Передающая сторона представляет принимающей стороне информацию по вопросам безопасности, охраны здоровья и окружающей среды, которая включает в себя:</w:t>
      </w:r>
    </w:p>
    <w:bookmarkEnd w:id="216"/>
    <w:bookmarkStart w:name="z224" w:id="217"/>
    <w:p>
      <w:pPr>
        <w:spacing w:after="0"/>
        <w:ind w:left="0"/>
        <w:jc w:val="both"/>
      </w:pPr>
      <w:r>
        <w:rPr>
          <w:rFonts w:ascii="Times New Roman"/>
          <w:b w:val="false"/>
          <w:i w:val="false"/>
          <w:color w:val="000000"/>
          <w:sz w:val="28"/>
        </w:rPr>
        <w:t>
      информацию о рисках, присущих процессу производства (например, о рисках, связанных с протекающими химическими реакциями, рисках, связанных с пределами воздействия на здоровье (характер, время, объект и др.), рисках пожаро- и взрывоопасности);</w:t>
      </w:r>
    </w:p>
    <w:bookmarkEnd w:id="217"/>
    <w:bookmarkStart w:name="z225" w:id="218"/>
    <w:p>
      <w:pPr>
        <w:spacing w:after="0"/>
        <w:ind w:left="0"/>
        <w:jc w:val="both"/>
      </w:pPr>
      <w:r>
        <w:rPr>
          <w:rFonts w:ascii="Times New Roman"/>
          <w:b w:val="false"/>
          <w:i w:val="false"/>
          <w:color w:val="000000"/>
          <w:sz w:val="28"/>
        </w:rPr>
        <w:t>
      требования к охране здоровья и безопасности для сведения к минимуму возможностей воздействия на операторов (например, атмосферная локализация фармацевтической пыли);</w:t>
      </w:r>
    </w:p>
    <w:bookmarkEnd w:id="218"/>
    <w:bookmarkStart w:name="z226" w:id="219"/>
    <w:p>
      <w:pPr>
        <w:spacing w:after="0"/>
        <w:ind w:left="0"/>
        <w:jc w:val="both"/>
      </w:pPr>
      <w:r>
        <w:rPr>
          <w:rFonts w:ascii="Times New Roman"/>
          <w:b w:val="false"/>
          <w:i w:val="false"/>
          <w:color w:val="000000"/>
          <w:sz w:val="28"/>
        </w:rPr>
        <w:t>
      порядок действий в чрезвычайных ситуациях (например, в случае выброса газа или пыли, розлива (рассыпания), пожара и слива воды для пожаротушения);</w:t>
      </w:r>
    </w:p>
    <w:bookmarkEnd w:id="219"/>
    <w:bookmarkStart w:name="z227" w:id="220"/>
    <w:p>
      <w:pPr>
        <w:spacing w:after="0"/>
        <w:ind w:left="0"/>
        <w:jc w:val="both"/>
      </w:pPr>
      <w:r>
        <w:rPr>
          <w:rFonts w:ascii="Times New Roman"/>
          <w:b w:val="false"/>
          <w:i w:val="false"/>
          <w:color w:val="000000"/>
          <w:sz w:val="28"/>
        </w:rPr>
        <w:t xml:space="preserve">
      информацию о порядке сбора, хранения и безопасного удаления отходов, информацию по повторному использованию, переработке и (или) утилизации отходов. </w:t>
      </w:r>
    </w:p>
    <w:bookmarkEnd w:id="220"/>
    <w:bookmarkStart w:name="z228" w:id="221"/>
    <w:p>
      <w:pPr>
        <w:spacing w:after="0"/>
        <w:ind w:left="0"/>
        <w:jc w:val="left"/>
      </w:pPr>
      <w:r>
        <w:rPr>
          <w:rFonts w:ascii="Times New Roman"/>
          <w:b/>
          <w:i w:val="false"/>
          <w:color w:val="000000"/>
        </w:rPr>
        <w:t xml:space="preserve"> Оборудование</w:t>
      </w:r>
    </w:p>
    <w:bookmarkEnd w:id="221"/>
    <w:bookmarkStart w:name="z229" w:id="222"/>
    <w:p>
      <w:pPr>
        <w:spacing w:after="0"/>
        <w:ind w:left="0"/>
        <w:jc w:val="both"/>
      </w:pPr>
      <w:r>
        <w:rPr>
          <w:rFonts w:ascii="Times New Roman"/>
          <w:b w:val="false"/>
          <w:i w:val="false"/>
          <w:color w:val="000000"/>
          <w:sz w:val="28"/>
        </w:rPr>
        <w:t>
      52. Передающая сторона представляет принимающей стороне перечень оборудования с указанием типов и моделей оборудования, включенных в процессы производства, фасовки, упаковки и (или) контроля качества передаваемых продуктов, а также документы по квалификации и валидации оборудования, в том числе (при наличии):</w:t>
      </w:r>
    </w:p>
    <w:bookmarkEnd w:id="222"/>
    <w:bookmarkStart w:name="z230" w:id="223"/>
    <w:p>
      <w:pPr>
        <w:spacing w:after="0"/>
        <w:ind w:left="0"/>
        <w:jc w:val="both"/>
      </w:pPr>
      <w:r>
        <w:rPr>
          <w:rFonts w:ascii="Times New Roman"/>
          <w:b w:val="false"/>
          <w:i w:val="false"/>
          <w:color w:val="000000"/>
          <w:sz w:val="28"/>
        </w:rPr>
        <w:t>
      а) чертежи;</w:t>
      </w:r>
    </w:p>
    <w:bookmarkEnd w:id="223"/>
    <w:bookmarkStart w:name="z231" w:id="224"/>
    <w:p>
      <w:pPr>
        <w:spacing w:after="0"/>
        <w:ind w:left="0"/>
        <w:jc w:val="both"/>
      </w:pPr>
      <w:r>
        <w:rPr>
          <w:rFonts w:ascii="Times New Roman"/>
          <w:b w:val="false"/>
          <w:i w:val="false"/>
          <w:color w:val="000000"/>
          <w:sz w:val="28"/>
        </w:rPr>
        <w:t>
      б) руководства по эксплуатации, квалификации и валидации оборудования;</w:t>
      </w:r>
    </w:p>
    <w:bookmarkEnd w:id="224"/>
    <w:bookmarkStart w:name="z232" w:id="225"/>
    <w:p>
      <w:pPr>
        <w:spacing w:after="0"/>
        <w:ind w:left="0"/>
        <w:jc w:val="both"/>
      </w:pPr>
      <w:r>
        <w:rPr>
          <w:rFonts w:ascii="Times New Roman"/>
          <w:b w:val="false"/>
          <w:i w:val="false"/>
          <w:color w:val="000000"/>
          <w:sz w:val="28"/>
        </w:rPr>
        <w:t>
      в) журналы регистрации эксплуатации и обслуживания оборудования;</w:t>
      </w:r>
    </w:p>
    <w:bookmarkEnd w:id="225"/>
    <w:bookmarkStart w:name="z233" w:id="226"/>
    <w:p>
      <w:pPr>
        <w:spacing w:after="0"/>
        <w:ind w:left="0"/>
        <w:jc w:val="both"/>
      </w:pPr>
      <w:r>
        <w:rPr>
          <w:rFonts w:ascii="Times New Roman"/>
          <w:b w:val="false"/>
          <w:i w:val="false"/>
          <w:color w:val="000000"/>
          <w:sz w:val="28"/>
        </w:rPr>
        <w:t>
      г) журналы регистрации калибровки оборудования;</w:t>
      </w:r>
    </w:p>
    <w:bookmarkEnd w:id="226"/>
    <w:bookmarkStart w:name="z234" w:id="227"/>
    <w:p>
      <w:pPr>
        <w:spacing w:after="0"/>
        <w:ind w:left="0"/>
        <w:jc w:val="both"/>
      </w:pPr>
      <w:r>
        <w:rPr>
          <w:rFonts w:ascii="Times New Roman"/>
          <w:b w:val="false"/>
          <w:i w:val="false"/>
          <w:color w:val="000000"/>
          <w:sz w:val="28"/>
        </w:rPr>
        <w:t xml:space="preserve">
      д) описания процедур (например, процедур настройки, эксплуатации, очистки, обслуживания, калибровки и хранения оборудования). </w:t>
      </w:r>
    </w:p>
    <w:bookmarkEnd w:id="227"/>
    <w:p>
      <w:pPr>
        <w:spacing w:after="0"/>
        <w:ind w:left="0"/>
        <w:jc w:val="both"/>
      </w:pPr>
      <w:bookmarkStart w:name="z235" w:id="228"/>
      <w:r>
        <w:rPr>
          <w:rFonts w:ascii="Times New Roman"/>
          <w:b w:val="false"/>
          <w:i w:val="false"/>
          <w:color w:val="000000"/>
          <w:sz w:val="28"/>
        </w:rPr>
        <w:t xml:space="preserve">
      53. Принимающая сторона проводит проверку информации, представленной передающей стороной, и своего оборудования, включающего в себя квалификационный статус (IQ, OQ, PQ) всего оборудования и систем, а также проводит сверку оборудования на </w:t>
      </w:r>
    </w:p>
    <w:bookmarkEnd w:id="228"/>
    <w:p>
      <w:pPr>
        <w:spacing w:after="0"/>
        <w:ind w:left="0"/>
        <w:jc w:val="both"/>
      </w:pPr>
      <w:r>
        <w:rPr>
          <w:rFonts w:ascii="Times New Roman"/>
          <w:b w:val="false"/>
          <w:i w:val="false"/>
          <w:color w:val="000000"/>
          <w:sz w:val="28"/>
        </w:rPr>
        <w:t xml:space="preserve">2 площадках в отношении его функциональности, типов, моделей и квалификационного статуса. </w:t>
      </w:r>
    </w:p>
    <w:bookmarkStart w:name="z236" w:id="229"/>
    <w:p>
      <w:pPr>
        <w:spacing w:after="0"/>
        <w:ind w:left="0"/>
        <w:jc w:val="both"/>
      </w:pPr>
      <w:r>
        <w:rPr>
          <w:rFonts w:ascii="Times New Roman"/>
          <w:b w:val="false"/>
          <w:i w:val="false"/>
          <w:color w:val="000000"/>
          <w:sz w:val="28"/>
        </w:rPr>
        <w:t>
      54. Принимающая и передающая стороны проводят анализ расхождений для выявления необходимости установления требований по адаптации существующего оборудования, приобретения нового оборудования или внесения изменений в процесс производства в целях обеспечения возможности воспроизведения передаваемых технологических процессов принимающей стороной. Анализ расхождений проводится с учетом требований Правил надлежащей производственной практики.</w:t>
      </w:r>
    </w:p>
    <w:bookmarkEnd w:id="229"/>
    <w:bookmarkStart w:name="z237" w:id="230"/>
    <w:p>
      <w:pPr>
        <w:spacing w:after="0"/>
        <w:ind w:left="0"/>
        <w:jc w:val="both"/>
      </w:pPr>
      <w:r>
        <w:rPr>
          <w:rFonts w:ascii="Times New Roman"/>
          <w:b w:val="false"/>
          <w:i w:val="false"/>
          <w:color w:val="000000"/>
          <w:sz w:val="28"/>
        </w:rPr>
        <w:t xml:space="preserve">
      55. Принимающая сторона во время составления технологических карт или блок-схем передаваемого процесса производства (включая потоки движения персонала и материалов) анализирует позиции размещения всех единиц оборудования с учетом специфики помещений (зданий). </w:t>
      </w:r>
    </w:p>
    <w:bookmarkEnd w:id="230"/>
    <w:bookmarkStart w:name="z238" w:id="231"/>
    <w:p>
      <w:pPr>
        <w:spacing w:after="0"/>
        <w:ind w:left="0"/>
        <w:jc w:val="both"/>
      </w:pPr>
      <w:r>
        <w:rPr>
          <w:rFonts w:ascii="Times New Roman"/>
          <w:b w:val="false"/>
          <w:i w:val="false"/>
          <w:color w:val="000000"/>
          <w:sz w:val="28"/>
        </w:rPr>
        <w:t>
      56. Также необходимо определить степень влияния производства новых продуктов на производство существующих продуктов с использованием одного и того же оборудования.</w:t>
      </w:r>
    </w:p>
    <w:bookmarkEnd w:id="231"/>
    <w:bookmarkStart w:name="z239" w:id="232"/>
    <w:p>
      <w:pPr>
        <w:spacing w:after="0"/>
        <w:ind w:left="0"/>
        <w:jc w:val="both"/>
      </w:pPr>
      <w:r>
        <w:rPr>
          <w:rFonts w:ascii="Times New Roman"/>
          <w:b w:val="false"/>
          <w:i w:val="false"/>
          <w:color w:val="000000"/>
          <w:sz w:val="28"/>
        </w:rPr>
        <w:t>
      57. Изменения оборудования, необходимые для его адаптации в целях обеспечения возможности воспроизведения передаваемого процесса производства указываются в плане трансфера.</w:t>
      </w:r>
    </w:p>
    <w:bookmarkEnd w:id="232"/>
    <w:bookmarkStart w:name="z240" w:id="233"/>
    <w:p>
      <w:pPr>
        <w:spacing w:after="0"/>
        <w:ind w:left="0"/>
        <w:jc w:val="both"/>
      </w:pPr>
      <w:r>
        <w:rPr>
          <w:rFonts w:ascii="Times New Roman"/>
          <w:b w:val="false"/>
          <w:i w:val="false"/>
          <w:color w:val="000000"/>
          <w:sz w:val="28"/>
        </w:rPr>
        <w:t>
      58. На данном этапе у передающей стороны выявляются и определяются проблемы (при наличии), связанные с устойчивостью процесса производства в целях проведения мероприятий по их устранению принимающей стороной в момент трансфера.</w:t>
      </w:r>
    </w:p>
    <w:bookmarkEnd w:id="233"/>
    <w:bookmarkStart w:name="z241" w:id="234"/>
    <w:p>
      <w:pPr>
        <w:spacing w:after="0"/>
        <w:ind w:left="0"/>
        <w:jc w:val="left"/>
      </w:pPr>
      <w:r>
        <w:rPr>
          <w:rFonts w:ascii="Times New Roman"/>
          <w:b/>
          <w:i w:val="false"/>
          <w:color w:val="000000"/>
        </w:rPr>
        <w:t xml:space="preserve"> VIII. Определение ключевых навыков персонала. </w:t>
      </w:r>
      <w:r>
        <w:br/>
      </w:r>
      <w:r>
        <w:rPr>
          <w:rFonts w:ascii="Times New Roman"/>
          <w:b/>
          <w:i w:val="false"/>
          <w:color w:val="000000"/>
        </w:rPr>
        <w:t>Обучение персонала</w:t>
      </w:r>
    </w:p>
    <w:bookmarkEnd w:id="234"/>
    <w:bookmarkStart w:name="z242" w:id="235"/>
    <w:p>
      <w:pPr>
        <w:spacing w:after="0"/>
        <w:ind w:left="0"/>
        <w:jc w:val="both"/>
      </w:pPr>
      <w:r>
        <w:rPr>
          <w:rFonts w:ascii="Times New Roman"/>
          <w:b w:val="false"/>
          <w:i w:val="false"/>
          <w:color w:val="000000"/>
          <w:sz w:val="28"/>
        </w:rPr>
        <w:t xml:space="preserve">
      59. Передающая и принимающая стороны совместно реализуют программы обучения персонала, которые могут потребоваться в связи со спецификой передаваемого лекарственного средства, технологии и (или) аналитических методик (например, обучение аналитическим методикам или использованию оборудования) и проводят оценку результатов обучения. </w:t>
      </w:r>
    </w:p>
    <w:bookmarkEnd w:id="235"/>
    <w:bookmarkStart w:name="z243" w:id="236"/>
    <w:p>
      <w:pPr>
        <w:spacing w:after="0"/>
        <w:ind w:left="0"/>
        <w:jc w:val="both"/>
      </w:pPr>
      <w:r>
        <w:rPr>
          <w:rFonts w:ascii="Times New Roman"/>
          <w:b w:val="false"/>
          <w:i w:val="false"/>
          <w:color w:val="000000"/>
          <w:sz w:val="28"/>
        </w:rPr>
        <w:t>
      Вид и объем обучения определяется руководителями принимающей и передающей стороны. Обучение может проводиться в форме устных рекомендаций, демонстраций технологии, аналитических методик и (или) практическое обучение. Обучение может проводиться на площадке передающей стороны и (или) на площадке принимающей стороны. Вид и объем обучения указывается в плане трансфера.</w:t>
      </w:r>
    </w:p>
    <w:bookmarkEnd w:id="236"/>
    <w:bookmarkStart w:name="z244" w:id="237"/>
    <w:p>
      <w:pPr>
        <w:spacing w:after="0"/>
        <w:ind w:left="0"/>
        <w:jc w:val="both"/>
      </w:pPr>
      <w:r>
        <w:rPr>
          <w:rFonts w:ascii="Times New Roman"/>
          <w:b w:val="false"/>
          <w:i w:val="false"/>
          <w:color w:val="000000"/>
          <w:sz w:val="28"/>
        </w:rPr>
        <w:t>
      Если лекарственное средство имеет несколько разных дозировок, обучение следует проводить только в отношении тех дозировок, которые считаются наиболее проблематичными (например, дозировок, требующих наибольшего объема работ, имеющие наименьшую массу и т.д.) однако это применимо в том случае, если методики работ, применяемые для других дозировок, являются аналогичными.</w:t>
      </w:r>
    </w:p>
    <w:bookmarkEnd w:id="237"/>
    <w:bookmarkStart w:name="z245" w:id="238"/>
    <w:p>
      <w:pPr>
        <w:spacing w:after="0"/>
        <w:ind w:left="0"/>
        <w:jc w:val="both"/>
      </w:pPr>
      <w:r>
        <w:rPr>
          <w:rFonts w:ascii="Times New Roman"/>
          <w:b w:val="false"/>
          <w:i w:val="false"/>
          <w:color w:val="000000"/>
          <w:sz w:val="28"/>
        </w:rPr>
        <w:t xml:space="preserve">
      Следует составить программу обучения. Все действия по прохождению обучения и его результаты следует оформлять документально. Документ о прохождении обучении подписывается передающей и принимающей стороной. </w:t>
      </w:r>
    </w:p>
    <w:bookmarkEnd w:id="238"/>
    <w:bookmarkStart w:name="z246" w:id="239"/>
    <w:p>
      <w:pPr>
        <w:spacing w:after="0"/>
        <w:ind w:left="0"/>
        <w:jc w:val="both"/>
      </w:pPr>
      <w:r>
        <w:rPr>
          <w:rFonts w:ascii="Times New Roman"/>
          <w:b w:val="false"/>
          <w:i w:val="false"/>
          <w:color w:val="000000"/>
          <w:sz w:val="28"/>
        </w:rPr>
        <w:t>
      Документ о прохождении обучения, должен содержать в том числе следующую информацию:</w:t>
      </w:r>
    </w:p>
    <w:bookmarkEnd w:id="239"/>
    <w:bookmarkStart w:name="z247" w:id="240"/>
    <w:p>
      <w:pPr>
        <w:spacing w:after="0"/>
        <w:ind w:left="0"/>
        <w:jc w:val="both"/>
      </w:pPr>
      <w:r>
        <w:rPr>
          <w:rFonts w:ascii="Times New Roman"/>
          <w:b w:val="false"/>
          <w:i w:val="false"/>
          <w:color w:val="000000"/>
          <w:sz w:val="28"/>
        </w:rPr>
        <w:t>
      фамилию, имя, отчество (при наличии) сотрудника проходившего обучение, должность, подразделение;</w:t>
      </w:r>
    </w:p>
    <w:bookmarkEnd w:id="240"/>
    <w:bookmarkStart w:name="z248" w:id="241"/>
    <w:p>
      <w:pPr>
        <w:spacing w:after="0"/>
        <w:ind w:left="0"/>
        <w:jc w:val="both"/>
      </w:pPr>
      <w:r>
        <w:rPr>
          <w:rFonts w:ascii="Times New Roman"/>
          <w:b w:val="false"/>
          <w:i w:val="false"/>
          <w:color w:val="000000"/>
          <w:sz w:val="28"/>
        </w:rPr>
        <w:t>
      краткое описание технологии и (или) перечень аналитических методик, в отношении которых было пройдено обучение с указанием номеров документов (технологических инструкций, процедур, методик испытаний);</w:t>
      </w:r>
    </w:p>
    <w:bookmarkEnd w:id="241"/>
    <w:bookmarkStart w:name="z249" w:id="242"/>
    <w:p>
      <w:pPr>
        <w:spacing w:after="0"/>
        <w:ind w:left="0"/>
        <w:jc w:val="both"/>
      </w:pPr>
      <w:r>
        <w:rPr>
          <w:rFonts w:ascii="Times New Roman"/>
          <w:b w:val="false"/>
          <w:i w:val="false"/>
          <w:color w:val="000000"/>
          <w:sz w:val="28"/>
        </w:rPr>
        <w:t>
      оценка результатов, полученных сотрудником при выполнении аналитической методики по которой проводилось обучение;</w:t>
      </w:r>
    </w:p>
    <w:bookmarkEnd w:id="242"/>
    <w:bookmarkStart w:name="z250" w:id="243"/>
    <w:p>
      <w:pPr>
        <w:spacing w:after="0"/>
        <w:ind w:left="0"/>
        <w:jc w:val="both"/>
      </w:pPr>
      <w:r>
        <w:rPr>
          <w:rFonts w:ascii="Times New Roman"/>
          <w:b w:val="false"/>
          <w:i w:val="false"/>
          <w:color w:val="000000"/>
          <w:sz w:val="28"/>
        </w:rPr>
        <w:t>
      о лице, проводившем обучение;</w:t>
      </w:r>
    </w:p>
    <w:bookmarkEnd w:id="243"/>
    <w:bookmarkStart w:name="z251" w:id="244"/>
    <w:p>
      <w:pPr>
        <w:spacing w:after="0"/>
        <w:ind w:left="0"/>
        <w:jc w:val="both"/>
      </w:pPr>
      <w:r>
        <w:rPr>
          <w:rFonts w:ascii="Times New Roman"/>
          <w:b w:val="false"/>
          <w:i w:val="false"/>
          <w:color w:val="000000"/>
          <w:sz w:val="28"/>
        </w:rPr>
        <w:t>
      о том, имеет ли право сотрудник, прошедший обучение, проводить обучение других сотрудников по технологии и или аналитическим методикам, в отношении которых было пройдено обучение;</w:t>
      </w:r>
    </w:p>
    <w:bookmarkEnd w:id="244"/>
    <w:bookmarkStart w:name="z252" w:id="245"/>
    <w:p>
      <w:pPr>
        <w:spacing w:after="0"/>
        <w:ind w:left="0"/>
        <w:jc w:val="both"/>
      </w:pPr>
      <w:r>
        <w:rPr>
          <w:rFonts w:ascii="Times New Roman"/>
          <w:b w:val="false"/>
          <w:i w:val="false"/>
          <w:color w:val="000000"/>
          <w:sz w:val="28"/>
        </w:rPr>
        <w:t>
      заключение о результате обучения и возможности самостоятельно осуществлять производство и (или) выполнять аналитическую методику (аналитические методики) (утверждается руководителем передающей стороны).</w:t>
      </w:r>
    </w:p>
    <w:bookmarkEnd w:id="245"/>
    <w:bookmarkStart w:name="z253" w:id="246"/>
    <w:p>
      <w:pPr>
        <w:spacing w:after="0"/>
        <w:ind w:left="0"/>
        <w:jc w:val="left"/>
      </w:pPr>
      <w:r>
        <w:rPr>
          <w:rFonts w:ascii="Times New Roman"/>
          <w:b/>
          <w:i w:val="false"/>
          <w:color w:val="000000"/>
        </w:rPr>
        <w:t xml:space="preserve"> IX. Проведение анализа и оценки рисков для качества </w:t>
      </w:r>
    </w:p>
    <w:bookmarkEnd w:id="246"/>
    <w:bookmarkStart w:name="z254" w:id="247"/>
    <w:p>
      <w:pPr>
        <w:spacing w:after="0"/>
        <w:ind w:left="0"/>
        <w:jc w:val="both"/>
      </w:pPr>
      <w:r>
        <w:rPr>
          <w:rFonts w:ascii="Times New Roman"/>
          <w:b w:val="false"/>
          <w:i w:val="false"/>
          <w:color w:val="000000"/>
          <w:sz w:val="28"/>
        </w:rPr>
        <w:t>
      60. Анализ рисков для качества проводится совместно передающей и принимающей сторонами в соответствии с требованиями главы II части III Правил надлежащей производственной практики</w:t>
      </w:r>
      <w:r>
        <w:rPr>
          <w:rFonts w:ascii="Times New Roman"/>
          <w:b w:val="false"/>
          <w:i/>
          <w:color w:val="000000"/>
          <w:sz w:val="28"/>
        </w:rPr>
        <w:t>.</w:t>
      </w:r>
    </w:p>
    <w:bookmarkEnd w:id="247"/>
    <w:bookmarkStart w:name="z255" w:id="248"/>
    <w:p>
      <w:pPr>
        <w:spacing w:after="0"/>
        <w:ind w:left="0"/>
        <w:jc w:val="both"/>
      </w:pPr>
      <w:r>
        <w:rPr>
          <w:rFonts w:ascii="Times New Roman"/>
          <w:b w:val="false"/>
          <w:i w:val="false"/>
          <w:color w:val="000000"/>
          <w:sz w:val="28"/>
        </w:rPr>
        <w:t xml:space="preserve">
      61. На данном этапе рассматриваются возможности по совмещению производства и проводится анализ расхождений, в том числе анализ следующих факторов: </w:t>
      </w:r>
    </w:p>
    <w:bookmarkEnd w:id="248"/>
    <w:bookmarkStart w:name="z256" w:id="249"/>
    <w:p>
      <w:pPr>
        <w:spacing w:after="0"/>
        <w:ind w:left="0"/>
        <w:jc w:val="both"/>
      </w:pPr>
      <w:r>
        <w:rPr>
          <w:rFonts w:ascii="Times New Roman"/>
          <w:b w:val="false"/>
          <w:i w:val="false"/>
          <w:color w:val="000000"/>
          <w:sz w:val="28"/>
        </w:rPr>
        <w:t>
      минимальная и максимальная производительность;</w:t>
      </w:r>
    </w:p>
    <w:bookmarkEnd w:id="249"/>
    <w:bookmarkStart w:name="z257" w:id="250"/>
    <w:p>
      <w:pPr>
        <w:spacing w:after="0"/>
        <w:ind w:left="0"/>
        <w:jc w:val="both"/>
      </w:pPr>
      <w:r>
        <w:rPr>
          <w:rFonts w:ascii="Times New Roman"/>
          <w:b w:val="false"/>
          <w:i w:val="false"/>
          <w:color w:val="000000"/>
          <w:sz w:val="28"/>
        </w:rPr>
        <w:t>
      особенности оборудования (материал конструкции, критические параметры процесса производства, критические компоненты оборудования (например, фильтры, экраны (сита) и датчики температуры и давления));</w:t>
      </w:r>
    </w:p>
    <w:bookmarkEnd w:id="250"/>
    <w:bookmarkStart w:name="z258" w:id="251"/>
    <w:p>
      <w:pPr>
        <w:spacing w:after="0"/>
        <w:ind w:left="0"/>
        <w:jc w:val="both"/>
      </w:pPr>
      <w:r>
        <w:rPr>
          <w:rFonts w:ascii="Times New Roman"/>
          <w:b w:val="false"/>
          <w:i w:val="false"/>
          <w:color w:val="000000"/>
          <w:sz w:val="28"/>
        </w:rPr>
        <w:t>
      механизмы закупки и управления товарно-материальными запасами;</w:t>
      </w:r>
    </w:p>
    <w:bookmarkEnd w:id="251"/>
    <w:bookmarkStart w:name="z259" w:id="252"/>
    <w:p>
      <w:pPr>
        <w:spacing w:after="0"/>
        <w:ind w:left="0"/>
        <w:jc w:val="both"/>
      </w:pPr>
      <w:r>
        <w:rPr>
          <w:rFonts w:ascii="Times New Roman"/>
          <w:b w:val="false"/>
          <w:i w:val="false"/>
          <w:color w:val="000000"/>
          <w:sz w:val="28"/>
        </w:rPr>
        <w:t>
      ключевые навыки персонала;</w:t>
      </w:r>
    </w:p>
    <w:bookmarkEnd w:id="252"/>
    <w:bookmarkStart w:name="z260" w:id="253"/>
    <w:p>
      <w:pPr>
        <w:spacing w:after="0"/>
        <w:ind w:left="0"/>
        <w:jc w:val="both"/>
      </w:pPr>
      <w:r>
        <w:rPr>
          <w:rFonts w:ascii="Times New Roman"/>
          <w:b w:val="false"/>
          <w:i w:val="false"/>
          <w:color w:val="000000"/>
          <w:sz w:val="28"/>
        </w:rPr>
        <w:t xml:space="preserve">
      критические показатели качества (например, отличия в спецификациях, аналитических методиках); </w:t>
      </w:r>
    </w:p>
    <w:bookmarkEnd w:id="253"/>
    <w:bookmarkStart w:name="z261" w:id="254"/>
    <w:p>
      <w:pPr>
        <w:spacing w:after="0"/>
        <w:ind w:left="0"/>
        <w:jc w:val="both"/>
      </w:pPr>
      <w:r>
        <w:rPr>
          <w:rFonts w:ascii="Times New Roman"/>
          <w:b w:val="false"/>
          <w:i w:val="false"/>
          <w:color w:val="000000"/>
          <w:sz w:val="28"/>
        </w:rPr>
        <w:t>
      отличия в системах обеспечения и контроля качества;</w:t>
      </w:r>
    </w:p>
    <w:bookmarkEnd w:id="254"/>
    <w:bookmarkStart w:name="z262" w:id="255"/>
    <w:p>
      <w:pPr>
        <w:spacing w:after="0"/>
        <w:ind w:left="0"/>
        <w:jc w:val="both"/>
      </w:pPr>
      <w:r>
        <w:rPr>
          <w:rFonts w:ascii="Times New Roman"/>
          <w:b w:val="false"/>
          <w:i w:val="false"/>
          <w:color w:val="000000"/>
          <w:sz w:val="28"/>
        </w:rPr>
        <w:t>
      валидационная политика в отношении компьютерных систем, квалификации помещений, оборудования, инженерных систем (системы водоподготовки, воздухоподготовки и т. д.);</w:t>
      </w:r>
    </w:p>
    <w:bookmarkEnd w:id="255"/>
    <w:bookmarkStart w:name="z263" w:id="256"/>
    <w:p>
      <w:pPr>
        <w:spacing w:after="0"/>
        <w:ind w:left="0"/>
        <w:jc w:val="both"/>
      </w:pPr>
      <w:r>
        <w:rPr>
          <w:rFonts w:ascii="Times New Roman"/>
          <w:b w:val="false"/>
          <w:i w:val="false"/>
          <w:color w:val="000000"/>
          <w:sz w:val="28"/>
        </w:rPr>
        <w:t>
      особенности обращения с образующимися отходами;</w:t>
      </w:r>
    </w:p>
    <w:bookmarkEnd w:id="256"/>
    <w:bookmarkStart w:name="z264" w:id="257"/>
    <w:p>
      <w:pPr>
        <w:spacing w:after="0"/>
        <w:ind w:left="0"/>
        <w:jc w:val="both"/>
      </w:pPr>
      <w:r>
        <w:rPr>
          <w:rFonts w:ascii="Times New Roman"/>
          <w:b w:val="false"/>
          <w:i w:val="false"/>
          <w:color w:val="000000"/>
          <w:sz w:val="28"/>
        </w:rPr>
        <w:t>
      различия в нормативных требованиях различных государств-членов при выполнении межгосударственного трансфера;</w:t>
      </w:r>
    </w:p>
    <w:bookmarkEnd w:id="257"/>
    <w:bookmarkStart w:name="z265" w:id="258"/>
    <w:p>
      <w:pPr>
        <w:spacing w:after="0"/>
        <w:ind w:left="0"/>
        <w:jc w:val="both"/>
      </w:pPr>
      <w:r>
        <w:rPr>
          <w:rFonts w:ascii="Times New Roman"/>
          <w:b w:val="false"/>
          <w:i w:val="false"/>
          <w:color w:val="000000"/>
          <w:sz w:val="28"/>
        </w:rPr>
        <w:t>
      иные вопросы в соответствии с разделом VII настоящего Руководства.</w:t>
      </w:r>
    </w:p>
    <w:bookmarkEnd w:id="258"/>
    <w:bookmarkStart w:name="z266" w:id="259"/>
    <w:p>
      <w:pPr>
        <w:spacing w:after="0"/>
        <w:ind w:left="0"/>
        <w:jc w:val="both"/>
      </w:pPr>
      <w:r>
        <w:rPr>
          <w:rFonts w:ascii="Times New Roman"/>
          <w:b w:val="false"/>
          <w:i w:val="false"/>
          <w:color w:val="000000"/>
          <w:sz w:val="28"/>
        </w:rPr>
        <w:t>
      62. На данном этапе могут производиться опытно-промышленные (пилотные) серии с целью обучения персонала и выработки у персонала навыков воспроизводства технологии и аналитических методик.</w:t>
      </w:r>
    </w:p>
    <w:bookmarkEnd w:id="259"/>
    <w:bookmarkStart w:name="z267" w:id="260"/>
    <w:p>
      <w:pPr>
        <w:spacing w:after="0"/>
        <w:ind w:left="0"/>
        <w:jc w:val="both"/>
      </w:pPr>
      <w:r>
        <w:rPr>
          <w:rFonts w:ascii="Times New Roman"/>
          <w:b w:val="false"/>
          <w:i w:val="false"/>
          <w:color w:val="000000"/>
          <w:sz w:val="28"/>
        </w:rPr>
        <w:t>
      63. Посредством качественной и количественной оценки все выявленные расхождения и риски для качества необходимо распределить по приоритетности и разработать мероприятия по их устранению (нивелированию), (например, реконструкция помещений, техническое оснащение (дооснащение) и др.).</w:t>
      </w:r>
    </w:p>
    <w:bookmarkEnd w:id="260"/>
    <w:bookmarkStart w:name="z268" w:id="261"/>
    <w:p>
      <w:pPr>
        <w:spacing w:after="0"/>
        <w:ind w:left="0"/>
        <w:jc w:val="both"/>
      </w:pPr>
      <w:r>
        <w:rPr>
          <w:rFonts w:ascii="Times New Roman"/>
          <w:b w:val="false"/>
          <w:i w:val="false"/>
          <w:color w:val="000000"/>
          <w:sz w:val="28"/>
        </w:rPr>
        <w:t>
      64. Изменения или модификации, осуществленные при трансфере технологии и (или) аналитических методик, должны быть:</w:t>
      </w:r>
    </w:p>
    <w:bookmarkEnd w:id="261"/>
    <w:bookmarkStart w:name="z269" w:id="262"/>
    <w:p>
      <w:pPr>
        <w:spacing w:after="0"/>
        <w:ind w:left="0"/>
        <w:jc w:val="both"/>
      </w:pPr>
      <w:r>
        <w:rPr>
          <w:rFonts w:ascii="Times New Roman"/>
          <w:b w:val="false"/>
          <w:i w:val="false"/>
          <w:color w:val="000000"/>
          <w:sz w:val="28"/>
        </w:rPr>
        <w:t>
      согласованы обеими сторонами;</w:t>
      </w:r>
    </w:p>
    <w:bookmarkEnd w:id="262"/>
    <w:bookmarkStart w:name="z270" w:id="263"/>
    <w:p>
      <w:pPr>
        <w:spacing w:after="0"/>
        <w:ind w:left="0"/>
        <w:jc w:val="both"/>
      </w:pPr>
      <w:r>
        <w:rPr>
          <w:rFonts w:ascii="Times New Roman"/>
          <w:b w:val="false"/>
          <w:i w:val="false"/>
          <w:color w:val="000000"/>
          <w:sz w:val="28"/>
        </w:rPr>
        <w:t>
      оформлены документально в полном объеме;</w:t>
      </w:r>
    </w:p>
    <w:bookmarkEnd w:id="263"/>
    <w:bookmarkStart w:name="z271" w:id="264"/>
    <w:p>
      <w:pPr>
        <w:spacing w:after="0"/>
        <w:ind w:left="0"/>
        <w:jc w:val="both"/>
      </w:pPr>
      <w:r>
        <w:rPr>
          <w:rFonts w:ascii="Times New Roman"/>
          <w:b w:val="false"/>
          <w:i w:val="false"/>
          <w:color w:val="000000"/>
          <w:sz w:val="28"/>
        </w:rPr>
        <w:t>
      проведены через систему контроля изменений.</w:t>
      </w:r>
    </w:p>
    <w:bookmarkEnd w:id="264"/>
    <w:bookmarkStart w:name="z272" w:id="265"/>
    <w:p>
      <w:pPr>
        <w:spacing w:after="0"/>
        <w:ind w:left="0"/>
        <w:jc w:val="both"/>
      </w:pPr>
      <w:r>
        <w:rPr>
          <w:rFonts w:ascii="Times New Roman"/>
          <w:b w:val="false"/>
          <w:i w:val="false"/>
          <w:color w:val="000000"/>
          <w:sz w:val="28"/>
        </w:rPr>
        <w:t xml:space="preserve">
      65. По результатам проведенной работы по управлению рисками для качества определяется стратегия по квалификации и валидации стратегии контроля. Совместно передающей и принимающей стороной разрабатывается протокол трансфера. </w:t>
      </w:r>
    </w:p>
    <w:bookmarkEnd w:id="265"/>
    <w:bookmarkStart w:name="z273" w:id="266"/>
    <w:p>
      <w:pPr>
        <w:spacing w:after="0"/>
        <w:ind w:left="0"/>
        <w:jc w:val="left"/>
      </w:pPr>
      <w:r>
        <w:rPr>
          <w:rFonts w:ascii="Times New Roman"/>
          <w:b/>
          <w:i w:val="false"/>
          <w:color w:val="000000"/>
        </w:rPr>
        <w:t xml:space="preserve"> X. Разработка протокола трансфера</w:t>
      </w:r>
    </w:p>
    <w:bookmarkEnd w:id="266"/>
    <w:bookmarkStart w:name="z274" w:id="267"/>
    <w:p>
      <w:pPr>
        <w:spacing w:after="0"/>
        <w:ind w:left="0"/>
        <w:jc w:val="both"/>
      </w:pPr>
      <w:r>
        <w:rPr>
          <w:rFonts w:ascii="Times New Roman"/>
          <w:b w:val="false"/>
          <w:i w:val="false"/>
          <w:color w:val="000000"/>
          <w:sz w:val="28"/>
        </w:rPr>
        <w:t>
      66. Протокол трансфера разрабатывается с учетом согласованного сторонами соглашения или плана трансфера и содержит необходимые последовательные этапы трансфера в зависимости от вида трансфера и включает в себя (но не ограничивается этим):</w:t>
      </w:r>
    </w:p>
    <w:bookmarkEnd w:id="267"/>
    <w:bookmarkStart w:name="z275" w:id="268"/>
    <w:p>
      <w:pPr>
        <w:spacing w:after="0"/>
        <w:ind w:left="0"/>
        <w:jc w:val="both"/>
      </w:pPr>
      <w:r>
        <w:rPr>
          <w:rFonts w:ascii="Times New Roman"/>
          <w:b w:val="false"/>
          <w:i w:val="false"/>
          <w:color w:val="000000"/>
          <w:sz w:val="28"/>
        </w:rPr>
        <w:t>
      область применения (границы и (или) объект) трансфера;</w:t>
      </w:r>
    </w:p>
    <w:bookmarkEnd w:id="268"/>
    <w:bookmarkStart w:name="z276" w:id="269"/>
    <w:p>
      <w:pPr>
        <w:spacing w:after="0"/>
        <w:ind w:left="0"/>
        <w:jc w:val="both"/>
      </w:pPr>
      <w:r>
        <w:rPr>
          <w:rFonts w:ascii="Times New Roman"/>
          <w:b w:val="false"/>
          <w:i w:val="false"/>
          <w:color w:val="000000"/>
          <w:sz w:val="28"/>
        </w:rPr>
        <w:t>
      цели и задачи применения трансфера;</w:t>
      </w:r>
    </w:p>
    <w:bookmarkEnd w:id="269"/>
    <w:bookmarkStart w:name="z277" w:id="270"/>
    <w:p>
      <w:pPr>
        <w:spacing w:after="0"/>
        <w:ind w:left="0"/>
        <w:jc w:val="both"/>
      </w:pPr>
      <w:r>
        <w:rPr>
          <w:rFonts w:ascii="Times New Roman"/>
          <w:b w:val="false"/>
          <w:i w:val="false"/>
          <w:color w:val="000000"/>
          <w:sz w:val="28"/>
        </w:rPr>
        <w:t>
      ключевой персонал и области его ответственности;</w:t>
      </w:r>
    </w:p>
    <w:bookmarkEnd w:id="270"/>
    <w:bookmarkStart w:name="z278" w:id="271"/>
    <w:p>
      <w:pPr>
        <w:spacing w:after="0"/>
        <w:ind w:left="0"/>
        <w:jc w:val="both"/>
      </w:pPr>
      <w:r>
        <w:rPr>
          <w:rFonts w:ascii="Times New Roman"/>
          <w:b w:val="false"/>
          <w:i w:val="false"/>
          <w:color w:val="000000"/>
          <w:sz w:val="28"/>
        </w:rPr>
        <w:t>
      сроки (временные рамки) трансфера;</w:t>
      </w:r>
    </w:p>
    <w:bookmarkEnd w:id="271"/>
    <w:bookmarkStart w:name="z279" w:id="272"/>
    <w:p>
      <w:pPr>
        <w:spacing w:after="0"/>
        <w:ind w:left="0"/>
        <w:jc w:val="both"/>
      </w:pPr>
      <w:r>
        <w:rPr>
          <w:rFonts w:ascii="Times New Roman"/>
          <w:b w:val="false"/>
          <w:i w:val="false"/>
          <w:color w:val="000000"/>
          <w:sz w:val="28"/>
        </w:rPr>
        <w:t>
      стратегия трансфера;</w:t>
      </w:r>
    </w:p>
    <w:bookmarkEnd w:id="272"/>
    <w:bookmarkStart w:name="z280" w:id="273"/>
    <w:p>
      <w:pPr>
        <w:spacing w:after="0"/>
        <w:ind w:left="0"/>
        <w:jc w:val="both"/>
      </w:pPr>
      <w:r>
        <w:rPr>
          <w:rFonts w:ascii="Times New Roman"/>
          <w:b w:val="false"/>
          <w:i w:val="false"/>
          <w:color w:val="000000"/>
          <w:sz w:val="28"/>
        </w:rPr>
        <w:t>
      стратегия контроля (для трансфера технологии);</w:t>
      </w:r>
    </w:p>
    <w:bookmarkEnd w:id="273"/>
    <w:bookmarkStart w:name="z281" w:id="274"/>
    <w:p>
      <w:pPr>
        <w:spacing w:after="0"/>
        <w:ind w:left="0"/>
        <w:jc w:val="both"/>
      </w:pPr>
      <w:r>
        <w:rPr>
          <w:rFonts w:ascii="Times New Roman"/>
          <w:b w:val="false"/>
          <w:i w:val="false"/>
          <w:color w:val="000000"/>
          <w:sz w:val="28"/>
        </w:rPr>
        <w:t>
      критерии успешности трансфера;</w:t>
      </w:r>
    </w:p>
    <w:bookmarkEnd w:id="274"/>
    <w:bookmarkStart w:name="z282" w:id="275"/>
    <w:p>
      <w:pPr>
        <w:spacing w:after="0"/>
        <w:ind w:left="0"/>
        <w:jc w:val="both"/>
      </w:pPr>
      <w:r>
        <w:rPr>
          <w:rFonts w:ascii="Times New Roman"/>
          <w:b w:val="false"/>
          <w:i w:val="false"/>
          <w:color w:val="000000"/>
          <w:sz w:val="28"/>
        </w:rPr>
        <w:t>
      порядок обучения персонала, оценка результатов;</w:t>
      </w:r>
    </w:p>
    <w:bookmarkEnd w:id="275"/>
    <w:bookmarkStart w:name="z283" w:id="276"/>
    <w:p>
      <w:pPr>
        <w:spacing w:after="0"/>
        <w:ind w:left="0"/>
        <w:jc w:val="both"/>
      </w:pPr>
      <w:r>
        <w:rPr>
          <w:rFonts w:ascii="Times New Roman"/>
          <w:b w:val="false"/>
          <w:i w:val="false"/>
          <w:color w:val="000000"/>
          <w:sz w:val="28"/>
        </w:rPr>
        <w:t xml:space="preserve">
      идентификация критических контрольных точек; </w:t>
      </w:r>
    </w:p>
    <w:bookmarkEnd w:id="276"/>
    <w:bookmarkStart w:name="z284" w:id="277"/>
    <w:p>
      <w:pPr>
        <w:spacing w:after="0"/>
        <w:ind w:left="0"/>
        <w:jc w:val="both"/>
      </w:pPr>
      <w:r>
        <w:rPr>
          <w:rFonts w:ascii="Times New Roman"/>
          <w:b w:val="false"/>
          <w:i w:val="false"/>
          <w:color w:val="000000"/>
          <w:sz w:val="28"/>
        </w:rPr>
        <w:t xml:space="preserve">
      экспериментальный план трансфера и критерии приемлемости (для аналитических методик); </w:t>
      </w:r>
    </w:p>
    <w:bookmarkEnd w:id="277"/>
    <w:bookmarkStart w:name="z285" w:id="278"/>
    <w:p>
      <w:pPr>
        <w:spacing w:after="0"/>
        <w:ind w:left="0"/>
        <w:jc w:val="both"/>
      </w:pPr>
      <w:r>
        <w:rPr>
          <w:rFonts w:ascii="Times New Roman"/>
          <w:b w:val="false"/>
          <w:i w:val="false"/>
          <w:color w:val="000000"/>
          <w:sz w:val="28"/>
        </w:rPr>
        <w:t xml:space="preserve">
      спецификации на сырье, материалы, лекарственное средство, детали образцов для трансфера (исходные материалы, промежуточные продукты и готовая продукция); </w:t>
      </w:r>
    </w:p>
    <w:bookmarkEnd w:id="278"/>
    <w:bookmarkStart w:name="z286" w:id="279"/>
    <w:p>
      <w:pPr>
        <w:spacing w:after="0"/>
        <w:ind w:left="0"/>
        <w:jc w:val="both"/>
      </w:pPr>
      <w:r>
        <w:rPr>
          <w:rFonts w:ascii="Times New Roman"/>
          <w:b w:val="false"/>
          <w:i w:val="false"/>
          <w:color w:val="000000"/>
          <w:sz w:val="28"/>
        </w:rPr>
        <w:t xml:space="preserve">
      оценка готового продукта; </w:t>
      </w:r>
    </w:p>
    <w:bookmarkEnd w:id="279"/>
    <w:bookmarkStart w:name="z287" w:id="280"/>
    <w:p>
      <w:pPr>
        <w:spacing w:after="0"/>
        <w:ind w:left="0"/>
        <w:jc w:val="both"/>
      </w:pPr>
      <w:r>
        <w:rPr>
          <w:rFonts w:ascii="Times New Roman"/>
          <w:b w:val="false"/>
          <w:i w:val="false"/>
          <w:color w:val="000000"/>
          <w:sz w:val="28"/>
        </w:rPr>
        <w:t>
      информация о мероприятиях по хранению архивных образцов активной фармацевтической субстанции, промежуточной продукции, нерасфасованной продукции и готовой продукции, а также информацию о стандартных образцах и порядке проведения мониторинга стабильности;</w:t>
      </w:r>
    </w:p>
    <w:bookmarkEnd w:id="280"/>
    <w:bookmarkStart w:name="z288" w:id="281"/>
    <w:p>
      <w:pPr>
        <w:spacing w:after="0"/>
        <w:ind w:left="0"/>
        <w:jc w:val="both"/>
      </w:pPr>
      <w:r>
        <w:rPr>
          <w:rFonts w:ascii="Times New Roman"/>
          <w:b w:val="false"/>
          <w:i w:val="false"/>
          <w:color w:val="000000"/>
          <w:sz w:val="28"/>
        </w:rPr>
        <w:t>
      объем квалификационных и валидационных работ (включая валидацию аналитических методик);</w:t>
      </w:r>
    </w:p>
    <w:bookmarkEnd w:id="281"/>
    <w:bookmarkStart w:name="z289" w:id="282"/>
    <w:p>
      <w:pPr>
        <w:spacing w:after="0"/>
        <w:ind w:left="0"/>
        <w:jc w:val="both"/>
      </w:pPr>
      <w:r>
        <w:rPr>
          <w:rFonts w:ascii="Times New Roman"/>
          <w:b w:val="false"/>
          <w:i w:val="false"/>
          <w:color w:val="000000"/>
          <w:sz w:val="28"/>
        </w:rPr>
        <w:t>
      изменения в трансфере;</w:t>
      </w:r>
    </w:p>
    <w:bookmarkEnd w:id="282"/>
    <w:bookmarkStart w:name="z290" w:id="283"/>
    <w:p>
      <w:pPr>
        <w:spacing w:after="0"/>
        <w:ind w:left="0"/>
        <w:jc w:val="both"/>
      </w:pPr>
      <w:r>
        <w:rPr>
          <w:rFonts w:ascii="Times New Roman"/>
          <w:b w:val="false"/>
          <w:i w:val="false"/>
          <w:color w:val="000000"/>
          <w:sz w:val="28"/>
        </w:rPr>
        <w:t>
      порядок действий при отклонениях или при получении результатов, не соответствующих критериям приемлемости;</w:t>
      </w:r>
    </w:p>
    <w:bookmarkEnd w:id="283"/>
    <w:bookmarkStart w:name="z291" w:id="284"/>
    <w:p>
      <w:pPr>
        <w:spacing w:after="0"/>
        <w:ind w:left="0"/>
        <w:jc w:val="both"/>
      </w:pPr>
      <w:r>
        <w:rPr>
          <w:rFonts w:ascii="Times New Roman"/>
          <w:b w:val="false"/>
          <w:i w:val="false"/>
          <w:color w:val="000000"/>
          <w:sz w:val="28"/>
        </w:rPr>
        <w:t>
      порядок действий при выявлении несоответствия качества лекарственных средств, произведенных в процессе трансфера, после его завершения;</w:t>
      </w:r>
    </w:p>
    <w:bookmarkEnd w:id="284"/>
    <w:bookmarkStart w:name="z292" w:id="285"/>
    <w:p>
      <w:pPr>
        <w:spacing w:after="0"/>
        <w:ind w:left="0"/>
        <w:jc w:val="both"/>
      </w:pPr>
      <w:r>
        <w:rPr>
          <w:rFonts w:ascii="Times New Roman"/>
          <w:b w:val="false"/>
          <w:i w:val="false"/>
          <w:color w:val="000000"/>
          <w:sz w:val="28"/>
        </w:rPr>
        <w:t>
      перечень документации, представляемой передающей стороной;</w:t>
      </w:r>
    </w:p>
    <w:bookmarkEnd w:id="285"/>
    <w:bookmarkStart w:name="z293" w:id="286"/>
    <w:p>
      <w:pPr>
        <w:spacing w:after="0"/>
        <w:ind w:left="0"/>
        <w:jc w:val="both"/>
      </w:pPr>
      <w:r>
        <w:rPr>
          <w:rFonts w:ascii="Times New Roman"/>
          <w:b w:val="false"/>
          <w:i w:val="false"/>
          <w:color w:val="000000"/>
          <w:sz w:val="28"/>
        </w:rPr>
        <w:t>
      приложения.</w:t>
      </w:r>
    </w:p>
    <w:bookmarkEnd w:id="286"/>
    <w:bookmarkStart w:name="z294" w:id="287"/>
    <w:p>
      <w:pPr>
        <w:spacing w:after="0"/>
        <w:ind w:left="0"/>
        <w:jc w:val="both"/>
      </w:pPr>
      <w:r>
        <w:rPr>
          <w:rFonts w:ascii="Times New Roman"/>
          <w:b w:val="false"/>
          <w:i w:val="false"/>
          <w:color w:val="000000"/>
          <w:sz w:val="28"/>
        </w:rPr>
        <w:t>
      Протоколы трансфера оформляются в порядке согласно приложениям № 3 и 5.</w:t>
      </w:r>
    </w:p>
    <w:bookmarkEnd w:id="287"/>
    <w:bookmarkStart w:name="z295" w:id="288"/>
    <w:p>
      <w:pPr>
        <w:spacing w:after="0"/>
        <w:ind w:left="0"/>
        <w:jc w:val="both"/>
      </w:pPr>
      <w:r>
        <w:rPr>
          <w:rFonts w:ascii="Times New Roman"/>
          <w:b w:val="false"/>
          <w:i w:val="false"/>
          <w:color w:val="000000"/>
          <w:sz w:val="28"/>
        </w:rPr>
        <w:t>
      67. Протокол трансфера должен поддерживаться в актуальном состоянии и по мере появления новой информации, переноса сроков работ и т. д. своевременно дополняться, вновь выявленные риски должны оцениваться.</w:t>
      </w:r>
    </w:p>
    <w:bookmarkEnd w:id="288"/>
    <w:bookmarkStart w:name="z296" w:id="289"/>
    <w:p>
      <w:pPr>
        <w:spacing w:after="0"/>
        <w:ind w:left="0"/>
        <w:jc w:val="left"/>
      </w:pPr>
      <w:r>
        <w:rPr>
          <w:rFonts w:ascii="Times New Roman"/>
          <w:b/>
          <w:i w:val="false"/>
          <w:color w:val="000000"/>
        </w:rPr>
        <w:t xml:space="preserve"> XI. Квалификация производственных помещений, оборудования и инженерных систем </w:t>
      </w:r>
    </w:p>
    <w:bookmarkEnd w:id="289"/>
    <w:bookmarkStart w:name="z297" w:id="290"/>
    <w:p>
      <w:pPr>
        <w:spacing w:after="0"/>
        <w:ind w:left="0"/>
        <w:jc w:val="both"/>
      </w:pPr>
      <w:r>
        <w:rPr>
          <w:rFonts w:ascii="Times New Roman"/>
          <w:b w:val="false"/>
          <w:i w:val="false"/>
          <w:color w:val="000000"/>
          <w:sz w:val="28"/>
        </w:rPr>
        <w:t xml:space="preserve">
      68. Степень проводимой квалификации и (или) валидации должна определяться на основе принципов управления рисками для качества. </w:t>
      </w:r>
    </w:p>
    <w:bookmarkEnd w:id="290"/>
    <w:bookmarkStart w:name="z298" w:id="291"/>
    <w:p>
      <w:pPr>
        <w:spacing w:after="0"/>
        <w:ind w:left="0"/>
        <w:jc w:val="both"/>
      </w:pPr>
      <w:r>
        <w:rPr>
          <w:rFonts w:ascii="Times New Roman"/>
          <w:b w:val="false"/>
          <w:i w:val="false"/>
          <w:color w:val="000000"/>
          <w:sz w:val="28"/>
        </w:rPr>
        <w:t>
      69. Результаты квалификации и валидации должны оформляться документально.</w:t>
      </w:r>
    </w:p>
    <w:bookmarkEnd w:id="291"/>
    <w:bookmarkStart w:name="z299" w:id="292"/>
    <w:p>
      <w:pPr>
        <w:spacing w:after="0"/>
        <w:ind w:left="0"/>
        <w:jc w:val="both"/>
      </w:pPr>
      <w:r>
        <w:rPr>
          <w:rFonts w:ascii="Times New Roman"/>
          <w:b w:val="false"/>
          <w:i w:val="false"/>
          <w:color w:val="000000"/>
          <w:sz w:val="28"/>
        </w:rPr>
        <w:t xml:space="preserve">
      70. Принимающей стороне следует проверить и при необходимости обеспечить наличие следующих соответствующим образом оформленных протоколов валидации: </w:t>
      </w:r>
    </w:p>
    <w:bookmarkEnd w:id="292"/>
    <w:bookmarkStart w:name="z300" w:id="293"/>
    <w:p>
      <w:pPr>
        <w:spacing w:after="0"/>
        <w:ind w:left="0"/>
        <w:jc w:val="both"/>
      </w:pPr>
      <w:r>
        <w:rPr>
          <w:rFonts w:ascii="Times New Roman"/>
          <w:b w:val="false"/>
          <w:i w:val="false"/>
          <w:color w:val="000000"/>
          <w:sz w:val="28"/>
        </w:rPr>
        <w:t xml:space="preserve">
      а) данные по квалификации монтажа (IQ), квалификации функционирования (OQ) и квалификации эксплуатации (PQ) для технологического и упаковочного оборудования, а также аналитического оборудования на площадке принимающей стороны; </w:t>
      </w:r>
    </w:p>
    <w:bookmarkEnd w:id="293"/>
    <w:bookmarkStart w:name="z301" w:id="294"/>
    <w:p>
      <w:pPr>
        <w:spacing w:after="0"/>
        <w:ind w:left="0"/>
        <w:jc w:val="both"/>
      </w:pPr>
      <w:r>
        <w:rPr>
          <w:rFonts w:ascii="Times New Roman"/>
          <w:b w:val="false"/>
          <w:i w:val="false"/>
          <w:color w:val="000000"/>
          <w:sz w:val="28"/>
        </w:rPr>
        <w:t>
      б) квалификация производственных помещений, а также инженерных систем на площадке принимающей стороны. Все инженерные системы, которые могут повлиять на качество продукции (например, пар, газы, сжатый воздух, а также системы нагревания, вентиляции и кондиционирования воздуха), должны пройти квалификацию.</w:t>
      </w:r>
    </w:p>
    <w:bookmarkEnd w:id="294"/>
    <w:bookmarkStart w:name="z302" w:id="295"/>
    <w:p>
      <w:pPr>
        <w:spacing w:after="0"/>
        <w:ind w:left="0"/>
        <w:jc w:val="left"/>
      </w:pPr>
      <w:r>
        <w:rPr>
          <w:rFonts w:ascii="Times New Roman"/>
          <w:b/>
          <w:i w:val="false"/>
          <w:color w:val="000000"/>
        </w:rPr>
        <w:t xml:space="preserve"> XII. Особенности трансфера аналитических методик</w:t>
      </w:r>
    </w:p>
    <w:bookmarkEnd w:id="295"/>
    <w:bookmarkStart w:name="z303" w:id="296"/>
    <w:p>
      <w:pPr>
        <w:spacing w:after="0"/>
        <w:ind w:left="0"/>
        <w:jc w:val="both"/>
      </w:pPr>
      <w:r>
        <w:rPr>
          <w:rFonts w:ascii="Times New Roman"/>
          <w:b w:val="false"/>
          <w:i w:val="false"/>
          <w:color w:val="000000"/>
          <w:sz w:val="28"/>
        </w:rPr>
        <w:t xml:space="preserve">
      71. Трансфер аналитических методик должен охватывать весь объем аналитических испытаний, необходимых для подтверждения соответствия передаваемого лекарственного средства спецификациям, входящим в регистрационное досье лекарственного средства. </w:t>
      </w:r>
    </w:p>
    <w:bookmarkEnd w:id="296"/>
    <w:bookmarkStart w:name="z304" w:id="297"/>
    <w:p>
      <w:pPr>
        <w:spacing w:after="0"/>
        <w:ind w:left="0"/>
        <w:jc w:val="both"/>
      </w:pPr>
      <w:r>
        <w:rPr>
          <w:rFonts w:ascii="Times New Roman"/>
          <w:b w:val="false"/>
          <w:i w:val="false"/>
          <w:color w:val="000000"/>
          <w:sz w:val="28"/>
        </w:rPr>
        <w:t>
      72. Трансфер аналитических методик применяется для аналитических методик, предназначенных для контроля:</w:t>
      </w:r>
    </w:p>
    <w:bookmarkEnd w:id="297"/>
    <w:bookmarkStart w:name="z305" w:id="298"/>
    <w:p>
      <w:pPr>
        <w:spacing w:after="0"/>
        <w:ind w:left="0"/>
        <w:jc w:val="both"/>
      </w:pPr>
      <w:r>
        <w:rPr>
          <w:rFonts w:ascii="Times New Roman"/>
          <w:b w:val="false"/>
          <w:i w:val="false"/>
          <w:color w:val="000000"/>
          <w:sz w:val="28"/>
        </w:rPr>
        <w:t>
      а) активных фармацевтических субстанций;</w:t>
      </w:r>
    </w:p>
    <w:bookmarkEnd w:id="298"/>
    <w:bookmarkStart w:name="z306" w:id="299"/>
    <w:p>
      <w:pPr>
        <w:spacing w:after="0"/>
        <w:ind w:left="0"/>
        <w:jc w:val="both"/>
      </w:pPr>
      <w:r>
        <w:rPr>
          <w:rFonts w:ascii="Times New Roman"/>
          <w:b w:val="false"/>
          <w:i w:val="false"/>
          <w:color w:val="000000"/>
          <w:sz w:val="28"/>
        </w:rPr>
        <w:t>
      б) нерасфасованной продукции;</w:t>
      </w:r>
    </w:p>
    <w:bookmarkEnd w:id="299"/>
    <w:bookmarkStart w:name="z307" w:id="300"/>
    <w:p>
      <w:pPr>
        <w:spacing w:after="0"/>
        <w:ind w:left="0"/>
        <w:jc w:val="both"/>
      </w:pPr>
      <w:r>
        <w:rPr>
          <w:rFonts w:ascii="Times New Roman"/>
          <w:b w:val="false"/>
          <w:i w:val="false"/>
          <w:color w:val="000000"/>
          <w:sz w:val="28"/>
        </w:rPr>
        <w:t>
      в) лекарственных препаратов;</w:t>
      </w:r>
    </w:p>
    <w:bookmarkEnd w:id="300"/>
    <w:bookmarkStart w:name="z308" w:id="301"/>
    <w:p>
      <w:pPr>
        <w:spacing w:after="0"/>
        <w:ind w:left="0"/>
        <w:jc w:val="both"/>
      </w:pPr>
      <w:r>
        <w:rPr>
          <w:rFonts w:ascii="Times New Roman"/>
          <w:b w:val="false"/>
          <w:i w:val="false"/>
          <w:color w:val="000000"/>
          <w:sz w:val="28"/>
        </w:rPr>
        <w:t>
      г) промежуточной продукции;</w:t>
      </w:r>
    </w:p>
    <w:bookmarkEnd w:id="301"/>
    <w:bookmarkStart w:name="z309" w:id="302"/>
    <w:p>
      <w:pPr>
        <w:spacing w:after="0"/>
        <w:ind w:left="0"/>
        <w:jc w:val="both"/>
      </w:pPr>
      <w:r>
        <w:rPr>
          <w:rFonts w:ascii="Times New Roman"/>
          <w:b w:val="false"/>
          <w:i w:val="false"/>
          <w:color w:val="000000"/>
          <w:sz w:val="28"/>
        </w:rPr>
        <w:t>
      д) исходных веществ для производства активных фармацевтических субстанций;</w:t>
      </w:r>
    </w:p>
    <w:bookmarkEnd w:id="302"/>
    <w:bookmarkStart w:name="z310" w:id="303"/>
    <w:p>
      <w:pPr>
        <w:spacing w:after="0"/>
        <w:ind w:left="0"/>
        <w:jc w:val="both"/>
      </w:pPr>
      <w:r>
        <w:rPr>
          <w:rFonts w:ascii="Times New Roman"/>
          <w:b w:val="false"/>
          <w:i w:val="false"/>
          <w:color w:val="000000"/>
          <w:sz w:val="28"/>
        </w:rPr>
        <w:t>
      е) вспомогательных веществ;</w:t>
      </w:r>
    </w:p>
    <w:bookmarkEnd w:id="303"/>
    <w:bookmarkStart w:name="z311" w:id="304"/>
    <w:p>
      <w:pPr>
        <w:spacing w:after="0"/>
        <w:ind w:left="0"/>
        <w:jc w:val="both"/>
      </w:pPr>
      <w:r>
        <w:rPr>
          <w:rFonts w:ascii="Times New Roman"/>
          <w:b w:val="false"/>
          <w:i w:val="false"/>
          <w:color w:val="000000"/>
          <w:sz w:val="28"/>
        </w:rPr>
        <w:t>
      ж) определения остаточных количеств веществ после проведения очистки (образцов очистки);</w:t>
      </w:r>
    </w:p>
    <w:bookmarkEnd w:id="304"/>
    <w:bookmarkStart w:name="z312" w:id="305"/>
    <w:p>
      <w:pPr>
        <w:spacing w:after="0"/>
        <w:ind w:left="0"/>
        <w:jc w:val="both"/>
      </w:pPr>
      <w:r>
        <w:rPr>
          <w:rFonts w:ascii="Times New Roman"/>
          <w:b w:val="false"/>
          <w:i w:val="false"/>
          <w:color w:val="000000"/>
          <w:sz w:val="28"/>
        </w:rPr>
        <w:t>
      з) критических параметров технологического процесса (при необходимости).</w:t>
      </w:r>
    </w:p>
    <w:bookmarkEnd w:id="305"/>
    <w:bookmarkStart w:name="z313" w:id="306"/>
    <w:p>
      <w:pPr>
        <w:spacing w:after="0"/>
        <w:ind w:left="0"/>
        <w:jc w:val="both"/>
      </w:pPr>
      <w:r>
        <w:rPr>
          <w:rFonts w:ascii="Times New Roman"/>
          <w:b w:val="false"/>
          <w:i w:val="false"/>
          <w:color w:val="000000"/>
          <w:sz w:val="28"/>
        </w:rPr>
        <w:t xml:space="preserve">
      73. Валидация аналитических методик осуществляется на этапе фармацевтической разработки, поэтому при трансфере аналитических методик возможно проведение верификации, а не валидации аналитических методик (при наличии соответствующего обоснования). Исключением являются специфические аналитические методики, для которых необходимо проведение валидации при трансфере. </w:t>
      </w:r>
    </w:p>
    <w:bookmarkEnd w:id="306"/>
    <w:bookmarkStart w:name="z314" w:id="307"/>
    <w:p>
      <w:pPr>
        <w:spacing w:after="0"/>
        <w:ind w:left="0"/>
        <w:jc w:val="both"/>
      </w:pPr>
      <w:r>
        <w:rPr>
          <w:rFonts w:ascii="Times New Roman"/>
          <w:b w:val="false"/>
          <w:i w:val="false"/>
          <w:color w:val="000000"/>
          <w:sz w:val="28"/>
        </w:rPr>
        <w:t>
      При проведении верификации оценивается сопоставимость необходимых валидационных характеристик конкретной аналитической методики у передающей и принимающей сторон (например, при количественном определении примесей подтверждаются такие валидационные характеристики, как предел количественного определения и прецизионность). Выбор валидационных характеристик для проведения верификации должен быть обоснован.</w:t>
      </w:r>
    </w:p>
    <w:bookmarkEnd w:id="307"/>
    <w:bookmarkStart w:name="z315" w:id="308"/>
    <w:p>
      <w:pPr>
        <w:spacing w:after="0"/>
        <w:ind w:left="0"/>
        <w:jc w:val="both"/>
      </w:pPr>
      <w:r>
        <w:rPr>
          <w:rFonts w:ascii="Times New Roman"/>
          <w:b w:val="false"/>
          <w:i w:val="false"/>
          <w:color w:val="000000"/>
          <w:sz w:val="28"/>
        </w:rPr>
        <w:t>
      74. Обычно фармакопейные методики не нуждаются в трансфере. Если фармакопейный метод допускает различное исполнение и аналитическая методика доработана и валидирована передающей стороной для конкретного производства, то трансфер такой аналитической методики необходим. В этом случае проводят верификацию методики в соответствии с пунктом 73 настоящего Руководства.</w:t>
      </w:r>
    </w:p>
    <w:bookmarkEnd w:id="308"/>
    <w:bookmarkStart w:name="z316" w:id="309"/>
    <w:p>
      <w:pPr>
        <w:spacing w:after="0"/>
        <w:ind w:left="0"/>
        <w:jc w:val="both"/>
      </w:pPr>
      <w:r>
        <w:rPr>
          <w:rFonts w:ascii="Times New Roman"/>
          <w:b w:val="false"/>
          <w:i w:val="false"/>
          <w:color w:val="000000"/>
          <w:sz w:val="28"/>
        </w:rPr>
        <w:t xml:space="preserve">
      75. Передающая и принимающая стороны согласуют перечень аналитических методик, подлежащих трансферу, и включают их в план трансфера и протокол трансфера. При выборе и согласовании аналитических методик учитываются сложность и тип методики и опыт принимающей стороны. </w:t>
      </w:r>
    </w:p>
    <w:bookmarkEnd w:id="309"/>
    <w:bookmarkStart w:name="z317" w:id="310"/>
    <w:p>
      <w:pPr>
        <w:spacing w:after="0"/>
        <w:ind w:left="0"/>
        <w:jc w:val="both"/>
      </w:pPr>
      <w:r>
        <w:rPr>
          <w:rFonts w:ascii="Times New Roman"/>
          <w:b w:val="false"/>
          <w:i w:val="false"/>
          <w:color w:val="000000"/>
          <w:sz w:val="28"/>
        </w:rPr>
        <w:t xml:space="preserve">
      76. Трансфер аналитических методик следует успешно завершить до начала проведения испытания при валидации процесса производства, осуществляемого принимающей стороной. Образцы валидационных серий могут быть проанализированы, в зависимости от цели трансфера, на площадке принимающей стороны, передающей стороны или в сторонней (третьей) аккредитованной испытательной лаборатории. Этот подход должен быть определен и отражен в плане трансфера аналитических методик. </w:t>
      </w:r>
    </w:p>
    <w:bookmarkEnd w:id="310"/>
    <w:bookmarkStart w:name="z318" w:id="311"/>
    <w:p>
      <w:pPr>
        <w:spacing w:after="0"/>
        <w:ind w:left="0"/>
        <w:jc w:val="both"/>
      </w:pPr>
      <w:r>
        <w:rPr>
          <w:rFonts w:ascii="Times New Roman"/>
          <w:b w:val="false"/>
          <w:i w:val="false"/>
          <w:color w:val="000000"/>
          <w:sz w:val="28"/>
        </w:rPr>
        <w:t>
      77. Трансфер технологии на площадку принимающей стороны может потребовать внесения изменений в предложенную передающей стороной стратегию контроля. В связи с этим перед началом трансфера аналитических методик передающая и принимающая стороны обсуждают, принимают или изменяют набор контрольных точек и (или) их характеристик исходя из особенностей каждого конкретного лекарственного средства с использованием риск-ориентированного подхода. После этого составляется план трансфера аналитических методик.</w:t>
      </w:r>
    </w:p>
    <w:bookmarkEnd w:id="311"/>
    <w:bookmarkStart w:name="z319" w:id="312"/>
    <w:p>
      <w:pPr>
        <w:spacing w:after="0"/>
        <w:ind w:left="0"/>
        <w:jc w:val="both"/>
      </w:pPr>
      <w:r>
        <w:rPr>
          <w:rFonts w:ascii="Times New Roman"/>
          <w:b w:val="false"/>
          <w:i w:val="false"/>
          <w:color w:val="000000"/>
          <w:sz w:val="28"/>
        </w:rPr>
        <w:t>
      Пример перечня типичных показателей качества (аналитических методик) для испытания активных фармацевтических субстанций и лекарственных форм, а также образцов очистки, предназначенных для трансфера, приведен в таблице 1.</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21" w:id="313"/>
    <w:p>
      <w:pPr>
        <w:spacing w:after="0"/>
        <w:ind w:left="0"/>
        <w:jc w:val="left"/>
      </w:pPr>
      <w:r>
        <w:rPr>
          <w:rFonts w:ascii="Times New Roman"/>
          <w:b/>
          <w:i w:val="false"/>
          <w:color w:val="000000"/>
        </w:rPr>
        <w:t xml:space="preserve"> Показатели качества (аналитические методики), подвергающиеся трансферу</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4"/>
          <w:p>
            <w:pPr>
              <w:spacing w:after="20"/>
              <w:ind w:left="20"/>
              <w:jc w:val="both"/>
            </w:pPr>
            <w:r>
              <w:rPr>
                <w:rFonts w:ascii="Times New Roman"/>
                <w:b w:val="false"/>
                <w:i w:val="false"/>
                <w:color w:val="000000"/>
                <w:sz w:val="20"/>
              </w:rPr>
              <w:t>
Показатель качества</w:t>
            </w:r>
          </w:p>
          <w:bookmarkEnd w:id="314"/>
          <w:p>
            <w:pPr>
              <w:spacing w:after="20"/>
              <w:ind w:left="20"/>
              <w:jc w:val="both"/>
            </w:pPr>
            <w:r>
              <w:rPr>
                <w:rFonts w:ascii="Times New Roman"/>
                <w:b w:val="false"/>
                <w:i w:val="false"/>
                <w:color w:val="000000"/>
                <w:sz w:val="20"/>
              </w:rPr>
              <w:t>
(вид испытания, методика)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фармацевтическая субстанция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5"/>
          <w:p>
            <w:pPr>
              <w:spacing w:after="20"/>
              <w:ind w:left="20"/>
              <w:jc w:val="both"/>
            </w:pPr>
            <w:r>
              <w:rPr>
                <w:rFonts w:ascii="Times New Roman"/>
                <w:b w:val="false"/>
                <w:i w:val="false"/>
                <w:color w:val="000000"/>
                <w:sz w:val="20"/>
              </w:rPr>
              <w:t>
жидкие</w:t>
            </w:r>
          </w:p>
          <w:bookmarkEnd w:id="315"/>
          <w:p>
            <w:pPr>
              <w:spacing w:after="20"/>
              <w:ind w:left="20"/>
              <w:jc w:val="both"/>
            </w:pPr>
            <w:r>
              <w:rPr>
                <w:rFonts w:ascii="Times New Roman"/>
                <w:b w:val="false"/>
                <w:i w:val="false"/>
                <w:color w:val="000000"/>
                <w:sz w:val="20"/>
              </w:rPr>
              <w:t>
(суспензии)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Количественное определение (активность)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Однородность дозированных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 (продукты разложения)</w:t>
            </w:r>
            <w:r>
              <w:rPr>
                <w:rFonts w:ascii="Times New Roman"/>
                <w:b w:val="false"/>
                <w:i w:val="false"/>
                <w:color w:val="000000"/>
                <w:vertAlign w:val="super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Растворение (скорость высвобождения, время растворения (диспергирования))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Микробиологическая чистота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6"/>
          <w:p>
            <w:pPr>
              <w:spacing w:after="20"/>
              <w:ind w:left="20"/>
              <w:jc w:val="both"/>
            </w:pPr>
            <w:r>
              <w:rPr>
                <w:rFonts w:ascii="Times New Roman"/>
                <w:b w:val="false"/>
                <w:i w:val="false"/>
                <w:color w:val="000000"/>
                <w:sz w:val="20"/>
              </w:rPr>
              <w:t>
Физические критерии</w:t>
            </w:r>
            <w:r>
              <w:rPr>
                <w:rFonts w:ascii="Times New Roman"/>
                <w:b w:val="false"/>
                <w:i w:val="false"/>
                <w:color w:val="000000"/>
                <w:vertAlign w:val="superscript"/>
              </w:rPr>
              <w:t>4</w:t>
            </w:r>
          </w:p>
          <w:bookmarkEnd w:id="316"/>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количества активной фармацевтической субстанции (проверка очистки)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5" w:id="317"/>
    <w:p>
      <w:pPr>
        <w:spacing w:after="0"/>
        <w:ind w:left="0"/>
        <w:jc w:val="both"/>
      </w:pPr>
      <w:r>
        <w:rPr>
          <w:rFonts w:ascii="Times New Roman"/>
          <w:b w:val="false"/>
          <w:i w:val="false"/>
          <w:color w:val="000000"/>
          <w:sz w:val="28"/>
        </w:rPr>
        <w:t>
      _______________</w:t>
      </w:r>
    </w:p>
    <w:bookmarkEnd w:id="317"/>
    <w:bookmarkStart w:name="z326" w:id="318"/>
    <w:p>
      <w:pPr>
        <w:spacing w:after="0"/>
        <w:ind w:left="0"/>
        <w:jc w:val="both"/>
      </w:pPr>
      <w:r>
        <w:rPr>
          <w:rFonts w:ascii="Times New Roman"/>
          <w:b w:val="false"/>
          <w:i w:val="false"/>
          <w:color w:val="000000"/>
          <w:sz w:val="28"/>
        </w:rPr>
        <w:t>
      Примечание:</w:t>
      </w:r>
    </w:p>
    <w:bookmarkEnd w:id="318"/>
    <w:bookmarkStart w:name="z327" w:id="3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в позиции "Примеси (продукты разложения)" также рассматриваются остаточные органические растворители, остаточные ДНК клетки-продуцента, остаточные белки и др. (если применимо).</w:t>
      </w:r>
    </w:p>
    <w:bookmarkEnd w:id="319"/>
    <w:bookmarkStart w:name="z328" w:id="3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позиция "Растворение (скорость высвобождения, время растворения (диспергирования))" относится к лиофилизированным парентеральным препаратам. </w:t>
      </w:r>
    </w:p>
    <w:bookmarkEnd w:id="320"/>
    <w:bookmarkStart w:name="z329" w:id="3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позиция "Микробиологическая чистота" относится только к тем активным фармацевтическим субстанциям, которые поддерживают микробиологический рост.</w:t>
      </w:r>
    </w:p>
    <w:bookmarkEnd w:id="321"/>
    <w:bookmarkStart w:name="z330" w:id="3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позиция "Физические критерии" включает различные показатели качества, в том числе и фармакопейные (например, прозрачность, цветность, рН и др.). Для таких показателей качества оценкой трансфера аналитических методик может быть соответствие спецификации и (или) сопоставимость с передающей стороной. Трансфер аналитических методик по данным показателям проводится на усмотрение передающей или принимающей стороны.</w:t>
      </w:r>
    </w:p>
    <w:bookmarkEnd w:id="322"/>
    <w:bookmarkStart w:name="z331" w:id="323"/>
    <w:p>
      <w:pPr>
        <w:spacing w:after="0"/>
        <w:ind w:left="0"/>
        <w:jc w:val="both"/>
      </w:pPr>
      <w:r>
        <w:rPr>
          <w:rFonts w:ascii="Times New Roman"/>
          <w:b w:val="false"/>
          <w:i w:val="false"/>
          <w:color w:val="000000"/>
          <w:sz w:val="28"/>
        </w:rPr>
        <w:t xml:space="preserve">
      78. Для трансфера аналитических методик рекомендуется оформить отдельный протокол, определяющий этапы трансфера согласно требованиям пункта 6 настоящего Руководства. </w:t>
      </w:r>
    </w:p>
    <w:bookmarkEnd w:id="323"/>
    <w:bookmarkStart w:name="z332" w:id="324"/>
    <w:p>
      <w:pPr>
        <w:spacing w:after="0"/>
        <w:ind w:left="0"/>
        <w:jc w:val="both"/>
      </w:pPr>
      <w:r>
        <w:rPr>
          <w:rFonts w:ascii="Times New Roman"/>
          <w:b w:val="false"/>
          <w:i w:val="false"/>
          <w:color w:val="000000"/>
          <w:sz w:val="28"/>
        </w:rPr>
        <w:t>
      Протокол трансфера аналитических методик должен включать: описание;</w:t>
      </w:r>
    </w:p>
    <w:bookmarkEnd w:id="324"/>
    <w:bookmarkStart w:name="z333" w:id="325"/>
    <w:p>
      <w:pPr>
        <w:spacing w:after="0"/>
        <w:ind w:left="0"/>
        <w:jc w:val="both"/>
      </w:pPr>
      <w:r>
        <w:rPr>
          <w:rFonts w:ascii="Times New Roman"/>
          <w:b w:val="false"/>
          <w:i w:val="false"/>
          <w:color w:val="000000"/>
          <w:sz w:val="28"/>
        </w:rPr>
        <w:t>
      а) цель трансфера;</w:t>
      </w:r>
    </w:p>
    <w:bookmarkEnd w:id="325"/>
    <w:bookmarkStart w:name="z334" w:id="326"/>
    <w:p>
      <w:pPr>
        <w:spacing w:after="0"/>
        <w:ind w:left="0"/>
        <w:jc w:val="both"/>
      </w:pPr>
      <w:r>
        <w:rPr>
          <w:rFonts w:ascii="Times New Roman"/>
          <w:b w:val="false"/>
          <w:i w:val="false"/>
          <w:color w:val="000000"/>
          <w:sz w:val="28"/>
        </w:rPr>
        <w:t>
      б) обязанности сторон;</w:t>
      </w:r>
    </w:p>
    <w:bookmarkEnd w:id="326"/>
    <w:bookmarkStart w:name="z335" w:id="327"/>
    <w:p>
      <w:pPr>
        <w:spacing w:after="0"/>
        <w:ind w:left="0"/>
        <w:jc w:val="both"/>
      </w:pPr>
      <w:r>
        <w:rPr>
          <w:rFonts w:ascii="Times New Roman"/>
          <w:b w:val="false"/>
          <w:i w:val="false"/>
          <w:color w:val="000000"/>
          <w:sz w:val="28"/>
        </w:rPr>
        <w:t>
      в) перечень аналитических методик, подлежащих трансферу;</w:t>
      </w:r>
    </w:p>
    <w:bookmarkEnd w:id="327"/>
    <w:bookmarkStart w:name="z336" w:id="328"/>
    <w:p>
      <w:pPr>
        <w:spacing w:after="0"/>
        <w:ind w:left="0"/>
        <w:jc w:val="both"/>
      </w:pPr>
      <w:r>
        <w:rPr>
          <w:rFonts w:ascii="Times New Roman"/>
          <w:b w:val="false"/>
          <w:i w:val="false"/>
          <w:color w:val="000000"/>
          <w:sz w:val="28"/>
        </w:rPr>
        <w:t>
      г) временные рамки трансфера;</w:t>
      </w:r>
    </w:p>
    <w:bookmarkEnd w:id="328"/>
    <w:bookmarkStart w:name="z337" w:id="329"/>
    <w:p>
      <w:pPr>
        <w:spacing w:after="0"/>
        <w:ind w:left="0"/>
        <w:jc w:val="both"/>
      </w:pPr>
      <w:r>
        <w:rPr>
          <w:rFonts w:ascii="Times New Roman"/>
          <w:b w:val="false"/>
          <w:i w:val="false"/>
          <w:color w:val="000000"/>
          <w:sz w:val="28"/>
        </w:rPr>
        <w:t>
      д) спецификации на материалы;</w:t>
      </w:r>
    </w:p>
    <w:bookmarkEnd w:id="329"/>
    <w:bookmarkStart w:name="z338" w:id="330"/>
    <w:p>
      <w:pPr>
        <w:spacing w:after="0"/>
        <w:ind w:left="0"/>
        <w:jc w:val="both"/>
      </w:pPr>
      <w:r>
        <w:rPr>
          <w:rFonts w:ascii="Times New Roman"/>
          <w:b w:val="false"/>
          <w:i w:val="false"/>
          <w:color w:val="000000"/>
          <w:sz w:val="28"/>
        </w:rPr>
        <w:t>
      е) описание образцов и материалов для испытаний;</w:t>
      </w:r>
    </w:p>
    <w:bookmarkEnd w:id="330"/>
    <w:bookmarkStart w:name="z339" w:id="331"/>
    <w:p>
      <w:pPr>
        <w:spacing w:after="0"/>
        <w:ind w:left="0"/>
        <w:jc w:val="both"/>
      </w:pPr>
      <w:r>
        <w:rPr>
          <w:rFonts w:ascii="Times New Roman"/>
          <w:b w:val="false"/>
          <w:i w:val="false"/>
          <w:color w:val="000000"/>
          <w:sz w:val="28"/>
        </w:rPr>
        <w:t>
      ж) экспериментальный план трансфера, в том числе указание на необходимость валидации аналитических методик, и критерии приемлемости;</w:t>
      </w:r>
    </w:p>
    <w:bookmarkEnd w:id="331"/>
    <w:bookmarkStart w:name="z340" w:id="332"/>
    <w:p>
      <w:pPr>
        <w:spacing w:after="0"/>
        <w:ind w:left="0"/>
        <w:jc w:val="both"/>
      </w:pPr>
      <w:r>
        <w:rPr>
          <w:rFonts w:ascii="Times New Roman"/>
          <w:b w:val="false"/>
          <w:i w:val="false"/>
          <w:color w:val="000000"/>
          <w:sz w:val="28"/>
        </w:rPr>
        <w:t>
      з) порядок действий при получении результатов, не соответствующих критериям приемлемости;</w:t>
      </w:r>
    </w:p>
    <w:bookmarkEnd w:id="332"/>
    <w:bookmarkStart w:name="z341" w:id="333"/>
    <w:p>
      <w:pPr>
        <w:spacing w:after="0"/>
        <w:ind w:left="0"/>
        <w:jc w:val="both"/>
      </w:pPr>
      <w:r>
        <w:rPr>
          <w:rFonts w:ascii="Times New Roman"/>
          <w:b w:val="false"/>
          <w:i w:val="false"/>
          <w:color w:val="000000"/>
          <w:sz w:val="28"/>
        </w:rPr>
        <w:t>
      и) документацию (включая информацию, которая должна быть предоставлена с результатами, и формы отчетов, которые будут использоваться, если таковые имеются);</w:t>
      </w:r>
    </w:p>
    <w:bookmarkEnd w:id="333"/>
    <w:bookmarkStart w:name="z342" w:id="334"/>
    <w:p>
      <w:pPr>
        <w:spacing w:after="0"/>
        <w:ind w:left="0"/>
        <w:jc w:val="both"/>
      </w:pPr>
      <w:r>
        <w:rPr>
          <w:rFonts w:ascii="Times New Roman"/>
          <w:b w:val="false"/>
          <w:i w:val="false"/>
          <w:color w:val="000000"/>
          <w:sz w:val="28"/>
        </w:rPr>
        <w:t xml:space="preserve">
      к) ссылки; </w:t>
      </w:r>
    </w:p>
    <w:bookmarkEnd w:id="334"/>
    <w:bookmarkStart w:name="z343" w:id="335"/>
    <w:p>
      <w:pPr>
        <w:spacing w:after="0"/>
        <w:ind w:left="0"/>
        <w:jc w:val="both"/>
      </w:pPr>
      <w:r>
        <w:rPr>
          <w:rFonts w:ascii="Times New Roman"/>
          <w:b w:val="false"/>
          <w:i w:val="false"/>
          <w:color w:val="000000"/>
          <w:sz w:val="28"/>
        </w:rPr>
        <w:t xml:space="preserve">
      л) подписи сторон; </w:t>
      </w:r>
    </w:p>
    <w:bookmarkEnd w:id="335"/>
    <w:bookmarkStart w:name="z344" w:id="336"/>
    <w:p>
      <w:pPr>
        <w:spacing w:after="0"/>
        <w:ind w:left="0"/>
        <w:jc w:val="both"/>
      </w:pPr>
      <w:r>
        <w:rPr>
          <w:rFonts w:ascii="Times New Roman"/>
          <w:b w:val="false"/>
          <w:i w:val="false"/>
          <w:color w:val="000000"/>
          <w:sz w:val="28"/>
        </w:rPr>
        <w:t xml:space="preserve">
      м) какие-либо детали в отношении использования стандартных образцов. </w:t>
      </w:r>
    </w:p>
    <w:bookmarkEnd w:id="336"/>
    <w:bookmarkStart w:name="z345" w:id="337"/>
    <w:p>
      <w:pPr>
        <w:spacing w:after="0"/>
        <w:ind w:left="0"/>
        <w:jc w:val="both"/>
      </w:pPr>
      <w:r>
        <w:rPr>
          <w:rFonts w:ascii="Times New Roman"/>
          <w:b w:val="false"/>
          <w:i w:val="false"/>
          <w:color w:val="000000"/>
          <w:sz w:val="28"/>
        </w:rPr>
        <w:t>
      Протокол трансфера аналитических методик оформляется по форме согласно приложению № 5.</w:t>
      </w:r>
    </w:p>
    <w:bookmarkEnd w:id="337"/>
    <w:bookmarkStart w:name="z346" w:id="338"/>
    <w:p>
      <w:pPr>
        <w:spacing w:after="0"/>
        <w:ind w:left="0"/>
        <w:jc w:val="both"/>
      </w:pPr>
      <w:r>
        <w:rPr>
          <w:rFonts w:ascii="Times New Roman"/>
          <w:b w:val="false"/>
          <w:i w:val="false"/>
          <w:color w:val="000000"/>
          <w:sz w:val="28"/>
        </w:rPr>
        <w:t>
      79. Обязанности передающей стороны в отношении трансфера аналитических методик включают:</w:t>
      </w:r>
    </w:p>
    <w:bookmarkEnd w:id="338"/>
    <w:bookmarkStart w:name="z347" w:id="339"/>
    <w:p>
      <w:pPr>
        <w:spacing w:after="0"/>
        <w:ind w:left="0"/>
        <w:jc w:val="both"/>
      </w:pPr>
      <w:r>
        <w:rPr>
          <w:rFonts w:ascii="Times New Roman"/>
          <w:b w:val="false"/>
          <w:i w:val="false"/>
          <w:color w:val="000000"/>
          <w:sz w:val="28"/>
        </w:rPr>
        <w:t>
      а) обучение специалистов и иного персонала службы контроля качества специфическим аналитическим методикам (если необходимо);</w:t>
      </w:r>
    </w:p>
    <w:bookmarkEnd w:id="339"/>
    <w:bookmarkStart w:name="z348" w:id="340"/>
    <w:p>
      <w:pPr>
        <w:spacing w:after="0"/>
        <w:ind w:left="0"/>
        <w:jc w:val="both"/>
      </w:pPr>
      <w:r>
        <w:rPr>
          <w:rFonts w:ascii="Times New Roman"/>
          <w:b w:val="false"/>
          <w:i w:val="false"/>
          <w:color w:val="000000"/>
          <w:sz w:val="28"/>
        </w:rPr>
        <w:t>
      б) оказание помощи при проведении анализа результатов испытаний;</w:t>
      </w:r>
    </w:p>
    <w:bookmarkEnd w:id="340"/>
    <w:bookmarkStart w:name="z349" w:id="341"/>
    <w:p>
      <w:pPr>
        <w:spacing w:after="0"/>
        <w:ind w:left="0"/>
        <w:jc w:val="both"/>
      </w:pPr>
      <w:r>
        <w:rPr>
          <w:rFonts w:ascii="Times New Roman"/>
          <w:b w:val="false"/>
          <w:i w:val="false"/>
          <w:color w:val="000000"/>
          <w:sz w:val="28"/>
        </w:rPr>
        <w:t>
      в) предоставление всех аналитических методик для испытания передаваемых лекарственных средств, исходных материалов или образцов очистки;</w:t>
      </w:r>
    </w:p>
    <w:bookmarkEnd w:id="341"/>
    <w:bookmarkStart w:name="z350" w:id="342"/>
    <w:p>
      <w:pPr>
        <w:spacing w:after="0"/>
        <w:ind w:left="0"/>
        <w:jc w:val="both"/>
      </w:pPr>
      <w:r>
        <w:rPr>
          <w:rFonts w:ascii="Times New Roman"/>
          <w:b w:val="false"/>
          <w:i w:val="false"/>
          <w:color w:val="000000"/>
          <w:sz w:val="28"/>
        </w:rPr>
        <w:t>
      г) определение экспериментального плана трансфера, условий проведения испытаний и критериев приемлемости;</w:t>
      </w:r>
    </w:p>
    <w:bookmarkEnd w:id="342"/>
    <w:bookmarkStart w:name="z351" w:id="343"/>
    <w:p>
      <w:pPr>
        <w:spacing w:after="0"/>
        <w:ind w:left="0"/>
        <w:jc w:val="both"/>
      </w:pPr>
      <w:r>
        <w:rPr>
          <w:rFonts w:ascii="Times New Roman"/>
          <w:b w:val="false"/>
          <w:i w:val="false"/>
          <w:color w:val="000000"/>
          <w:sz w:val="28"/>
        </w:rPr>
        <w:t>
      д) предоставление валидационных отчетов в отношении передаваемых аналитических методик, включая материалы по изучению их устойчивости (робастности);</w:t>
      </w:r>
    </w:p>
    <w:bookmarkEnd w:id="343"/>
    <w:bookmarkStart w:name="z352" w:id="344"/>
    <w:p>
      <w:pPr>
        <w:spacing w:after="0"/>
        <w:ind w:left="0"/>
        <w:jc w:val="both"/>
      </w:pPr>
      <w:r>
        <w:rPr>
          <w:rFonts w:ascii="Times New Roman"/>
          <w:b w:val="false"/>
          <w:i w:val="false"/>
          <w:color w:val="000000"/>
          <w:sz w:val="28"/>
        </w:rPr>
        <w:t>
      е) предоставление подробных сведений об эксплуатации используемого оборудования (часть валидационного отчета при необходимости) и любых стандартных образцов;</w:t>
      </w:r>
    </w:p>
    <w:bookmarkEnd w:id="344"/>
    <w:bookmarkStart w:name="z353" w:id="345"/>
    <w:p>
      <w:pPr>
        <w:spacing w:after="0"/>
        <w:ind w:left="0"/>
        <w:jc w:val="both"/>
      </w:pPr>
      <w:r>
        <w:rPr>
          <w:rFonts w:ascii="Times New Roman"/>
          <w:b w:val="false"/>
          <w:i w:val="false"/>
          <w:color w:val="000000"/>
          <w:sz w:val="28"/>
        </w:rPr>
        <w:t xml:space="preserve">
      ж) представление всех утвержденных стандартных операционных процедур (методик испытаний), используемых при испытаниях; </w:t>
      </w:r>
    </w:p>
    <w:bookmarkEnd w:id="345"/>
    <w:bookmarkStart w:name="z354" w:id="346"/>
    <w:p>
      <w:pPr>
        <w:spacing w:after="0"/>
        <w:ind w:left="0"/>
        <w:jc w:val="both"/>
      </w:pPr>
      <w:r>
        <w:rPr>
          <w:rFonts w:ascii="Times New Roman"/>
          <w:b w:val="false"/>
          <w:i w:val="false"/>
          <w:color w:val="000000"/>
          <w:sz w:val="28"/>
        </w:rPr>
        <w:t>
      з) проверку и утверждение отчетов о трансфере.</w:t>
      </w:r>
    </w:p>
    <w:bookmarkEnd w:id="346"/>
    <w:bookmarkStart w:name="z355" w:id="347"/>
    <w:p>
      <w:pPr>
        <w:spacing w:after="0"/>
        <w:ind w:left="0"/>
        <w:jc w:val="both"/>
      </w:pPr>
      <w:r>
        <w:rPr>
          <w:rFonts w:ascii="Times New Roman"/>
          <w:b w:val="false"/>
          <w:i w:val="false"/>
          <w:color w:val="000000"/>
          <w:sz w:val="28"/>
        </w:rPr>
        <w:t>
      80. Обязанностями принимающей стороны являются:</w:t>
      </w:r>
    </w:p>
    <w:bookmarkEnd w:id="347"/>
    <w:bookmarkStart w:name="z356" w:id="348"/>
    <w:p>
      <w:pPr>
        <w:spacing w:after="0"/>
        <w:ind w:left="0"/>
        <w:jc w:val="both"/>
      </w:pPr>
      <w:r>
        <w:rPr>
          <w:rFonts w:ascii="Times New Roman"/>
          <w:b w:val="false"/>
          <w:i w:val="false"/>
          <w:color w:val="000000"/>
          <w:sz w:val="28"/>
        </w:rPr>
        <w:t>
      а) рассмотрение и проведение анализа аналитических методик, предоставляемых передающей стороной, и официальное согласование критериев приемлемости до момента исполнения протокола трансфера;</w:t>
      </w:r>
    </w:p>
    <w:bookmarkEnd w:id="348"/>
    <w:bookmarkStart w:name="z357" w:id="349"/>
    <w:p>
      <w:pPr>
        <w:spacing w:after="0"/>
        <w:ind w:left="0"/>
        <w:jc w:val="both"/>
      </w:pPr>
      <w:r>
        <w:rPr>
          <w:rFonts w:ascii="Times New Roman"/>
          <w:b w:val="false"/>
          <w:i w:val="false"/>
          <w:color w:val="000000"/>
          <w:sz w:val="28"/>
        </w:rPr>
        <w:t>
      б) гарантия того, что все необходимое для контроля качества оборудование имеется в наличии и прошло квалификацию на площадке принимающей стороны. Оборудование, используемое принимающей стороной в процессе трансфера аналитических методик, должно соответствовать требованиям, указанным в спецификациях;</w:t>
      </w:r>
    </w:p>
    <w:bookmarkEnd w:id="349"/>
    <w:bookmarkStart w:name="z358" w:id="350"/>
    <w:p>
      <w:pPr>
        <w:spacing w:after="0"/>
        <w:ind w:left="0"/>
        <w:jc w:val="both"/>
      </w:pPr>
      <w:r>
        <w:rPr>
          <w:rFonts w:ascii="Times New Roman"/>
          <w:b w:val="false"/>
          <w:i w:val="false"/>
          <w:color w:val="000000"/>
          <w:sz w:val="28"/>
        </w:rPr>
        <w:t>
      в) гарантия того, что для проведения аналитических испытаний в наличии имеется опытный и соответствующим образом обученный персонал;</w:t>
      </w:r>
    </w:p>
    <w:bookmarkEnd w:id="350"/>
    <w:bookmarkStart w:name="z359" w:id="351"/>
    <w:p>
      <w:pPr>
        <w:spacing w:after="0"/>
        <w:ind w:left="0"/>
        <w:jc w:val="both"/>
      </w:pPr>
      <w:r>
        <w:rPr>
          <w:rFonts w:ascii="Times New Roman"/>
          <w:b w:val="false"/>
          <w:i w:val="false"/>
          <w:color w:val="000000"/>
          <w:sz w:val="28"/>
        </w:rPr>
        <w:t>
      г) представление системы документирования, способной осуществлять регистрацию получения и испытания образцов согласно требуемым спецификациям с использованием утвержденных аналитических методик, а также запись, сопоставление данных и обозначение статуса (одобренный материал, забракованный материал, карантин);</w:t>
      </w:r>
    </w:p>
    <w:bookmarkEnd w:id="351"/>
    <w:bookmarkStart w:name="z360" w:id="352"/>
    <w:p>
      <w:pPr>
        <w:spacing w:after="0"/>
        <w:ind w:left="0"/>
        <w:jc w:val="both"/>
      </w:pPr>
      <w:r>
        <w:rPr>
          <w:rFonts w:ascii="Times New Roman"/>
          <w:b w:val="false"/>
          <w:i w:val="false"/>
          <w:color w:val="000000"/>
          <w:sz w:val="28"/>
        </w:rPr>
        <w:t>
      д) выполнение работ согласно протоколу трансфера;</w:t>
      </w:r>
    </w:p>
    <w:bookmarkEnd w:id="352"/>
    <w:bookmarkStart w:name="z361" w:id="353"/>
    <w:p>
      <w:pPr>
        <w:spacing w:after="0"/>
        <w:ind w:left="0"/>
        <w:jc w:val="both"/>
      </w:pPr>
      <w:r>
        <w:rPr>
          <w:rFonts w:ascii="Times New Roman"/>
          <w:b w:val="false"/>
          <w:i w:val="false"/>
          <w:color w:val="000000"/>
          <w:sz w:val="28"/>
        </w:rPr>
        <w:t xml:space="preserve">
      е) оформление отчета по полученным результатам и направление его принимающей стороне. </w:t>
      </w:r>
    </w:p>
    <w:bookmarkEnd w:id="353"/>
    <w:bookmarkStart w:name="z362" w:id="354"/>
    <w:p>
      <w:pPr>
        <w:spacing w:after="0"/>
        <w:ind w:left="0"/>
        <w:jc w:val="both"/>
      </w:pPr>
      <w:r>
        <w:rPr>
          <w:rFonts w:ascii="Times New Roman"/>
          <w:b w:val="false"/>
          <w:i w:val="false"/>
          <w:color w:val="000000"/>
          <w:sz w:val="28"/>
        </w:rPr>
        <w:t>
      81. Сравнительные испытания образцов при трансфере могут не проводиться в следующих случаях:</w:t>
      </w:r>
    </w:p>
    <w:bookmarkEnd w:id="354"/>
    <w:bookmarkStart w:name="z363" w:id="355"/>
    <w:p>
      <w:pPr>
        <w:spacing w:after="0"/>
        <w:ind w:left="0"/>
        <w:jc w:val="both"/>
      </w:pPr>
      <w:r>
        <w:rPr>
          <w:rFonts w:ascii="Times New Roman"/>
          <w:b w:val="false"/>
          <w:i w:val="false"/>
          <w:color w:val="000000"/>
          <w:sz w:val="28"/>
        </w:rPr>
        <w:t>
      состав нового лекарственного препарата, концентрация активной фармацевтической субстанции подобны имеющимся или принимающая сторона имеет опыт работы с этой методикой (например, новый лекарственный препарат в виде капсул ранее выпускался в форме таблеток);</w:t>
      </w:r>
    </w:p>
    <w:bookmarkEnd w:id="355"/>
    <w:bookmarkStart w:name="z364" w:id="356"/>
    <w:p>
      <w:pPr>
        <w:spacing w:after="0"/>
        <w:ind w:left="0"/>
        <w:jc w:val="both"/>
      </w:pPr>
      <w:r>
        <w:rPr>
          <w:rFonts w:ascii="Times New Roman"/>
          <w:b w:val="false"/>
          <w:i w:val="false"/>
          <w:color w:val="000000"/>
          <w:sz w:val="28"/>
        </w:rPr>
        <w:t>
      переносится фармакопейная методика, которая не подвергалась изменениям и прошедшая верификацию;</w:t>
      </w:r>
    </w:p>
    <w:bookmarkEnd w:id="356"/>
    <w:bookmarkStart w:name="z365" w:id="357"/>
    <w:p>
      <w:pPr>
        <w:spacing w:after="0"/>
        <w:ind w:left="0"/>
        <w:jc w:val="both"/>
      </w:pPr>
      <w:r>
        <w:rPr>
          <w:rFonts w:ascii="Times New Roman"/>
          <w:b w:val="false"/>
          <w:i w:val="false"/>
          <w:color w:val="000000"/>
          <w:sz w:val="28"/>
        </w:rPr>
        <w:t>
      используется та же или иная сходная с уже используемой в лаборатории аналитическая методика;</w:t>
      </w:r>
    </w:p>
    <w:bookmarkEnd w:id="357"/>
    <w:bookmarkStart w:name="z366" w:id="358"/>
    <w:p>
      <w:pPr>
        <w:spacing w:after="0"/>
        <w:ind w:left="0"/>
        <w:jc w:val="both"/>
      </w:pPr>
      <w:r>
        <w:rPr>
          <w:rFonts w:ascii="Times New Roman"/>
          <w:b w:val="false"/>
          <w:i w:val="false"/>
          <w:color w:val="000000"/>
          <w:sz w:val="28"/>
        </w:rPr>
        <w:t>
      персонал, проводивший разработку, валидацию или рутинный анализ, переходит на работу в лабораторию принимающей стороны.</w:t>
      </w:r>
    </w:p>
    <w:bookmarkEnd w:id="358"/>
    <w:bookmarkStart w:name="z367" w:id="359"/>
    <w:p>
      <w:pPr>
        <w:spacing w:after="0"/>
        <w:ind w:left="0"/>
        <w:jc w:val="both"/>
      </w:pPr>
      <w:r>
        <w:rPr>
          <w:rFonts w:ascii="Times New Roman"/>
          <w:b w:val="false"/>
          <w:i w:val="false"/>
          <w:color w:val="000000"/>
          <w:sz w:val="28"/>
        </w:rPr>
        <w:t>
      Отказ от проведения сравнительных испытаний при трансфере аналитической методики следует обосновать.</w:t>
      </w:r>
    </w:p>
    <w:bookmarkEnd w:id="359"/>
    <w:bookmarkStart w:name="z368" w:id="360"/>
    <w:p>
      <w:pPr>
        <w:spacing w:after="0"/>
        <w:ind w:left="0"/>
        <w:jc w:val="both"/>
      </w:pPr>
      <w:r>
        <w:rPr>
          <w:rFonts w:ascii="Times New Roman"/>
          <w:b w:val="false"/>
          <w:i w:val="false"/>
          <w:color w:val="000000"/>
          <w:sz w:val="28"/>
        </w:rPr>
        <w:t>
      82. Все подлежащие трансферу аналитические методики и зарегистрированные спецификации, фактически применяющиеся передающей стороной, должны представляться в актуальной версии и в письменном виде.</w:t>
      </w:r>
    </w:p>
    <w:bookmarkEnd w:id="360"/>
    <w:p>
      <w:pPr>
        <w:spacing w:after="0"/>
        <w:ind w:left="0"/>
        <w:jc w:val="both"/>
      </w:pPr>
      <w:bookmarkStart w:name="z369" w:id="361"/>
      <w:r>
        <w:rPr>
          <w:rFonts w:ascii="Times New Roman"/>
          <w:b w:val="false"/>
          <w:i w:val="false"/>
          <w:color w:val="000000"/>
          <w:sz w:val="28"/>
        </w:rPr>
        <w:t xml:space="preserve">
      83. Необходимо провести соответствующее обучение персонала </w:t>
      </w:r>
    </w:p>
    <w:bookmarkEnd w:id="361"/>
    <w:p>
      <w:pPr>
        <w:spacing w:after="0"/>
        <w:ind w:left="0"/>
        <w:jc w:val="both"/>
      </w:pPr>
      <w:r>
        <w:rPr>
          <w:rFonts w:ascii="Times New Roman"/>
          <w:b w:val="false"/>
          <w:i w:val="false"/>
          <w:color w:val="000000"/>
          <w:sz w:val="28"/>
        </w:rPr>
        <w:t>(все действия по обучению и его результаты следует документировать в соответствии с пунктом 59 настоящего Руководства), а также необходимо определить вид и объем обучения до начала трансфера аналитических методик.</w:t>
      </w:r>
    </w:p>
    <w:bookmarkStart w:name="z370" w:id="362"/>
    <w:p>
      <w:pPr>
        <w:spacing w:after="0"/>
        <w:ind w:left="0"/>
        <w:jc w:val="both"/>
      </w:pPr>
      <w:r>
        <w:rPr>
          <w:rFonts w:ascii="Times New Roman"/>
          <w:b w:val="false"/>
          <w:i w:val="false"/>
          <w:color w:val="000000"/>
          <w:sz w:val="28"/>
        </w:rPr>
        <w:t xml:space="preserve">
      84. При необходимости в плане трансфера и протоколе трансфера можно указывать ссылки на статьи (монографии) Фармакопеи Союза, фармакопей государств-членов или основных фармакопей в соответствии с Концепцией гармонизации фармакопей государств-членов. </w:t>
      </w:r>
    </w:p>
    <w:bookmarkEnd w:id="362"/>
    <w:bookmarkStart w:name="z371" w:id="363"/>
    <w:p>
      <w:pPr>
        <w:spacing w:after="0"/>
        <w:ind w:left="0"/>
        <w:jc w:val="both"/>
      </w:pPr>
      <w:r>
        <w:rPr>
          <w:rFonts w:ascii="Times New Roman"/>
          <w:b w:val="false"/>
          <w:i w:val="false"/>
          <w:color w:val="000000"/>
          <w:sz w:val="28"/>
        </w:rPr>
        <w:t xml:space="preserve">
      85. Экспериментальный план проведения лабораторных испытаний при трансфере (с критериями приемлемости трансфера аналитических методик) оформляется по форме согласно приложению № 6. Экспериментальный план трансфера, приведенный в приложении № 6 является примерным и предусматривает применение основного принципа трансфера аналитических методик, предусматривающего необходимость учета особенностей таких валидационных характеристик аналитической методики, как ее прецизионность, правильность, предел обнаружения и предел количественного определения (при необходимости), а также учета спецификации на анализируемый объект. В экспериментальный план трансфера могут быть включены дополнительные валидационные характеристики. Альтернативные процедуры и критерии приемлемости могут использоваться на основании научных данных и характеристик аналитической методики и анализируемого вещества. </w:t>
      </w:r>
    </w:p>
    <w:bookmarkEnd w:id="363"/>
    <w:bookmarkStart w:name="z372" w:id="364"/>
    <w:p>
      <w:pPr>
        <w:spacing w:after="0"/>
        <w:ind w:left="0"/>
        <w:jc w:val="both"/>
      </w:pPr>
      <w:r>
        <w:rPr>
          <w:rFonts w:ascii="Times New Roman"/>
          <w:b w:val="false"/>
          <w:i w:val="false"/>
          <w:color w:val="000000"/>
          <w:sz w:val="28"/>
        </w:rPr>
        <w:t xml:space="preserve">
      86. Передающая и принимающая стороны должны выполнить работы в соответствии с протоколом трансфера аналитических методик и подготовить отчет о трансфере аналитических методик по форме согласно приложению № 7. Отчет о трансфере аналитических методик, как правило, составляется принимающей стороной. Также отчет о трансфере может подготавливать группа (команда) проекта по трансферу или передающая сторона. </w:t>
      </w:r>
    </w:p>
    <w:bookmarkEnd w:id="364"/>
    <w:bookmarkStart w:name="z373" w:id="365"/>
    <w:p>
      <w:pPr>
        <w:spacing w:after="0"/>
        <w:ind w:left="0"/>
        <w:jc w:val="both"/>
      </w:pPr>
      <w:r>
        <w:rPr>
          <w:rFonts w:ascii="Times New Roman"/>
          <w:b w:val="false"/>
          <w:i w:val="false"/>
          <w:color w:val="000000"/>
          <w:sz w:val="28"/>
        </w:rPr>
        <w:t>
      Отчет о трансфере аналитических методик должен содержать сравнение и оценку результатов, полученных принимающей и передающей сторонами, заключение об успешности трансфера аналитических методик и подтверждение того, что принимающая сторона может быть квалифицирована для выполнения аналитических методик.</w:t>
      </w:r>
    </w:p>
    <w:bookmarkEnd w:id="365"/>
    <w:bookmarkStart w:name="z374" w:id="366"/>
    <w:p>
      <w:pPr>
        <w:spacing w:after="0"/>
        <w:ind w:left="0"/>
        <w:jc w:val="both"/>
      </w:pPr>
      <w:r>
        <w:rPr>
          <w:rFonts w:ascii="Times New Roman"/>
          <w:b w:val="false"/>
          <w:i w:val="false"/>
          <w:color w:val="000000"/>
          <w:sz w:val="28"/>
        </w:rPr>
        <w:t xml:space="preserve">
      Отклонения от протокола трансфера аналитических методик должны быть расследованы до завершения процесса трансфера аналитических методик. </w:t>
      </w:r>
    </w:p>
    <w:bookmarkEnd w:id="366"/>
    <w:bookmarkStart w:name="z375" w:id="367"/>
    <w:p>
      <w:pPr>
        <w:spacing w:after="0"/>
        <w:ind w:left="0"/>
        <w:jc w:val="both"/>
      </w:pPr>
      <w:r>
        <w:rPr>
          <w:rFonts w:ascii="Times New Roman"/>
          <w:b w:val="false"/>
          <w:i w:val="false"/>
          <w:color w:val="000000"/>
          <w:sz w:val="28"/>
        </w:rPr>
        <w:t>
      87. В случае если при трансфере аналитических методик не выполнены критерии успешности, определяется причина и порядок дальнейших действий (проводятся повторные испытания, дорабатывается аналитическая методика и т. д.).</w:t>
      </w:r>
    </w:p>
    <w:bookmarkEnd w:id="367"/>
    <w:bookmarkStart w:name="z376" w:id="368"/>
    <w:p>
      <w:pPr>
        <w:spacing w:after="0"/>
        <w:ind w:left="0"/>
        <w:jc w:val="both"/>
      </w:pPr>
      <w:r>
        <w:rPr>
          <w:rFonts w:ascii="Times New Roman"/>
          <w:b w:val="false"/>
          <w:i w:val="false"/>
          <w:color w:val="000000"/>
          <w:sz w:val="28"/>
        </w:rPr>
        <w:t>
      88. При трансфере аналитических методик необходимо обеспечивать целостность, прослеживаемость и постоянство данных.</w:t>
      </w:r>
    </w:p>
    <w:bookmarkEnd w:id="368"/>
    <w:bookmarkStart w:name="z377" w:id="369"/>
    <w:p>
      <w:pPr>
        <w:spacing w:after="0"/>
        <w:ind w:left="0"/>
        <w:jc w:val="left"/>
      </w:pPr>
      <w:r>
        <w:rPr>
          <w:rFonts w:ascii="Times New Roman"/>
          <w:b/>
          <w:i w:val="false"/>
          <w:color w:val="000000"/>
        </w:rPr>
        <w:t xml:space="preserve"> XIII. Производство опытно-промышленных (пилотных) и (или) инженерных серий</w:t>
      </w:r>
    </w:p>
    <w:bookmarkEnd w:id="369"/>
    <w:bookmarkStart w:name="z378" w:id="370"/>
    <w:p>
      <w:pPr>
        <w:spacing w:after="0"/>
        <w:ind w:left="0"/>
        <w:jc w:val="both"/>
      </w:pPr>
      <w:r>
        <w:rPr>
          <w:rFonts w:ascii="Times New Roman"/>
          <w:b w:val="false"/>
          <w:i w:val="false"/>
          <w:color w:val="000000"/>
          <w:sz w:val="28"/>
        </w:rPr>
        <w:t xml:space="preserve">
      89. Опытно-промышленные (пилотные) серии (то есть серии, объем которых составляет не менее 1⁄10 от размера промышленной серии (для твердых лекарственных форм не менее 1⁄10 или не менее 100 000 единиц, в зависимости от того, какое количество больше)) и (или) инженерные серии обычно производятся для подтверждения технологических возможностей и обучения персонала до начала формальной валидации. При производстве опытно-промышленных серий необходимо рассмотреть как минимум все критические параметры процесса производства и спецификации готового продукта. </w:t>
      </w:r>
    </w:p>
    <w:bookmarkEnd w:id="370"/>
    <w:bookmarkStart w:name="z379" w:id="371"/>
    <w:p>
      <w:pPr>
        <w:spacing w:after="0"/>
        <w:ind w:left="0"/>
        <w:jc w:val="both"/>
      </w:pPr>
      <w:r>
        <w:rPr>
          <w:rFonts w:ascii="Times New Roman"/>
          <w:b w:val="false"/>
          <w:i w:val="false"/>
          <w:color w:val="000000"/>
          <w:sz w:val="28"/>
        </w:rPr>
        <w:t>
      90. После успешного производства опытно-промышленных (пилотных) или инженерных серий (с гарантией того, что готовый продукт, процесс производства или аналитическая методика на площадке принимающей стороны соответствуют предварительно определенным и обоснованным спецификациям) можно проводить валидацию процесса и валидацию очистки.</w:t>
      </w:r>
    </w:p>
    <w:bookmarkEnd w:id="371"/>
    <w:bookmarkStart w:name="z380" w:id="372"/>
    <w:p>
      <w:pPr>
        <w:spacing w:after="0"/>
        <w:ind w:left="0"/>
        <w:jc w:val="left"/>
      </w:pPr>
      <w:r>
        <w:rPr>
          <w:rFonts w:ascii="Times New Roman"/>
          <w:b/>
          <w:i w:val="false"/>
          <w:color w:val="000000"/>
        </w:rPr>
        <w:t xml:space="preserve"> XIV. Валидация процесса производства, валидация очистки</w:t>
      </w:r>
    </w:p>
    <w:bookmarkEnd w:id="372"/>
    <w:bookmarkStart w:name="z381" w:id="373"/>
    <w:p>
      <w:pPr>
        <w:spacing w:after="0"/>
        <w:ind w:left="0"/>
        <w:jc w:val="both"/>
      </w:pPr>
      <w:r>
        <w:rPr>
          <w:rFonts w:ascii="Times New Roman"/>
          <w:b w:val="false"/>
          <w:i w:val="false"/>
          <w:color w:val="000000"/>
          <w:sz w:val="28"/>
        </w:rPr>
        <w:t>
      91. Количество производственных циклов, необходимых для валидации процесса, зависит от сложности процесса, подлежащего рассмотрению. При этом должны использоваться данные произведенных серий продукции надлежащего качества опытно-промышленного или промышленного объема</w:t>
      </w:r>
      <w:r>
        <w:rPr>
          <w:rFonts w:ascii="Times New Roman"/>
          <w:b w:val="false"/>
          <w:i/>
          <w:color w:val="000000"/>
          <w:sz w:val="28"/>
        </w:rPr>
        <w:t>.</w:t>
      </w:r>
    </w:p>
    <w:bookmarkEnd w:id="373"/>
    <w:bookmarkStart w:name="z382" w:id="374"/>
    <w:p>
      <w:pPr>
        <w:spacing w:after="0"/>
        <w:ind w:left="0"/>
        <w:jc w:val="both"/>
      </w:pPr>
      <w:r>
        <w:rPr>
          <w:rFonts w:ascii="Times New Roman"/>
          <w:b w:val="false"/>
          <w:i w:val="false"/>
          <w:color w:val="000000"/>
          <w:sz w:val="28"/>
        </w:rPr>
        <w:t>
      Валидация процесса должна охватывать все планируемые к реализации дозировки и площадки производства. Количество валидационных серий может быть уменьшено с использованием группировочного подхода (брекетинга) для продукции, передаваемой в рамках трансфера с одной производственной площадки на другую (или в пределах одной производственной площадки), а также при наличии информации о продукции, включающей сведения о предыдущей валидации. Данный подход может быть приемлемым для различных дозировок, размеров серии и размеров пачек (типов) упаковки (при наличии соответствующего обоснования).</w:t>
      </w:r>
    </w:p>
    <w:bookmarkEnd w:id="374"/>
    <w:bookmarkStart w:name="z383" w:id="375"/>
    <w:p>
      <w:pPr>
        <w:spacing w:after="0"/>
        <w:ind w:left="0"/>
        <w:jc w:val="both"/>
      </w:pPr>
      <w:r>
        <w:rPr>
          <w:rFonts w:ascii="Times New Roman"/>
          <w:b w:val="false"/>
          <w:i w:val="false"/>
          <w:color w:val="000000"/>
          <w:sz w:val="28"/>
        </w:rPr>
        <w:t xml:space="preserve">
      92. Критические параметры процесса производства и критические показатели качества, как правило, следует определять на стадии проведения анализа расхождений, изучения документации на лекарственное средство (в соответствии с разделом IX настоящего Руководства), представленной передающей стороной, и (или) на основании данных предварительного опыта работы. </w:t>
      </w:r>
    </w:p>
    <w:bookmarkEnd w:id="375"/>
    <w:bookmarkStart w:name="z384" w:id="376"/>
    <w:p>
      <w:pPr>
        <w:spacing w:after="0"/>
        <w:ind w:left="0"/>
        <w:jc w:val="both"/>
      </w:pPr>
      <w:r>
        <w:rPr>
          <w:rFonts w:ascii="Times New Roman"/>
          <w:b w:val="false"/>
          <w:i w:val="false"/>
          <w:color w:val="000000"/>
          <w:sz w:val="28"/>
        </w:rPr>
        <w:t xml:space="preserve">
      93. В процессе производства возможно загрязнение лекарственного препарата и активной фармацевтической субстанции другими лекарственными препаратами или активными фармацевтическими субстанциями, если на производственном участке осуществляется производство разных видов продукции. Для минимизации риска загрязнения и перекрестного загрязнения, воздействия со стороны операторов и окружающей производственной среды крайне важным является проведение соответствующих процедур очистки. </w:t>
      </w:r>
    </w:p>
    <w:bookmarkEnd w:id="376"/>
    <w:bookmarkStart w:name="z385" w:id="377"/>
    <w:p>
      <w:pPr>
        <w:spacing w:after="0"/>
        <w:ind w:left="0"/>
        <w:jc w:val="both"/>
      </w:pPr>
      <w:r>
        <w:rPr>
          <w:rFonts w:ascii="Times New Roman"/>
          <w:b w:val="false"/>
          <w:i w:val="false"/>
          <w:color w:val="000000"/>
          <w:sz w:val="28"/>
        </w:rPr>
        <w:t>
      94. Процедуры очистки и их валидация являются специфическими для производственной площадки. Чтобы принимающая сторона могла определить свою стратегию по очистке, передающая сторона с целью сведения к минимуму возможности перекрестного загрязнения в результате наличия остатков с предыдущих производственных этапов, воздействия со стороны операторов и влияния окружающей производственной среды, должна представить информацию по очистке, включая сведения о:</w:t>
      </w:r>
    </w:p>
    <w:bookmarkEnd w:id="377"/>
    <w:bookmarkStart w:name="z386" w:id="378"/>
    <w:p>
      <w:pPr>
        <w:spacing w:after="0"/>
        <w:ind w:left="0"/>
        <w:jc w:val="both"/>
      </w:pPr>
      <w:r>
        <w:rPr>
          <w:rFonts w:ascii="Times New Roman"/>
          <w:b w:val="false"/>
          <w:i w:val="false"/>
          <w:color w:val="000000"/>
          <w:sz w:val="28"/>
        </w:rPr>
        <w:t>
      а) растворимости активных компонентов, вспомогательных веществ и носителей;</w:t>
      </w:r>
    </w:p>
    <w:bookmarkEnd w:id="378"/>
    <w:bookmarkStart w:name="z387" w:id="379"/>
    <w:p>
      <w:pPr>
        <w:spacing w:after="0"/>
        <w:ind w:left="0"/>
        <w:jc w:val="both"/>
      </w:pPr>
      <w:r>
        <w:rPr>
          <w:rFonts w:ascii="Times New Roman"/>
          <w:b w:val="false"/>
          <w:i w:val="false"/>
          <w:color w:val="000000"/>
          <w:sz w:val="28"/>
        </w:rPr>
        <w:t>
      б) диапазоне терапевтических доз активных компонентов;</w:t>
      </w:r>
    </w:p>
    <w:bookmarkEnd w:id="379"/>
    <w:bookmarkStart w:name="z388" w:id="380"/>
    <w:p>
      <w:pPr>
        <w:spacing w:after="0"/>
        <w:ind w:left="0"/>
        <w:jc w:val="both"/>
      </w:pPr>
      <w:r>
        <w:rPr>
          <w:rFonts w:ascii="Times New Roman"/>
          <w:b w:val="false"/>
          <w:i w:val="false"/>
          <w:color w:val="000000"/>
          <w:sz w:val="28"/>
        </w:rPr>
        <w:t xml:space="preserve">
      в) терапевтической группе и научно обоснованной токсикологической оценке, включающей расчет допустимой ежедневной экспозиции (PDE), в том числе для продуктов деградации (если предполагается контроль их остаточных количеств аналитическими методами); </w:t>
      </w:r>
    </w:p>
    <w:bookmarkEnd w:id="380"/>
    <w:bookmarkStart w:name="z389" w:id="381"/>
    <w:p>
      <w:pPr>
        <w:spacing w:after="0"/>
        <w:ind w:left="0"/>
        <w:jc w:val="both"/>
      </w:pPr>
      <w:r>
        <w:rPr>
          <w:rFonts w:ascii="Times New Roman"/>
          <w:b w:val="false"/>
          <w:i w:val="false"/>
          <w:color w:val="000000"/>
          <w:sz w:val="28"/>
        </w:rPr>
        <w:t>
      г) существующих процедурах очистки и об образовании продуктов деградации при взаимодействии с моющими средствами.</w:t>
      </w:r>
    </w:p>
    <w:bookmarkEnd w:id="381"/>
    <w:bookmarkStart w:name="z390" w:id="382"/>
    <w:p>
      <w:pPr>
        <w:spacing w:after="0"/>
        <w:ind w:left="0"/>
        <w:jc w:val="both"/>
      </w:pPr>
      <w:r>
        <w:rPr>
          <w:rFonts w:ascii="Times New Roman"/>
          <w:b w:val="false"/>
          <w:i w:val="false"/>
          <w:color w:val="000000"/>
          <w:sz w:val="28"/>
        </w:rPr>
        <w:t>
      95. Для формирования стратегии по очистке передающей стороне также следует предоставлять принимающей стороне дополнительную информацию (если это применимо), и такая информация имеется в наличии, включая:</w:t>
      </w:r>
    </w:p>
    <w:bookmarkEnd w:id="382"/>
    <w:bookmarkStart w:name="z391" w:id="383"/>
    <w:p>
      <w:pPr>
        <w:spacing w:after="0"/>
        <w:ind w:left="0"/>
        <w:jc w:val="both"/>
      </w:pPr>
      <w:r>
        <w:rPr>
          <w:rFonts w:ascii="Times New Roman"/>
          <w:b w:val="false"/>
          <w:i w:val="false"/>
          <w:color w:val="000000"/>
          <w:sz w:val="28"/>
        </w:rPr>
        <w:t>
      а) данные о методиках контроля очистки оборудования и методы отбора проб;</w:t>
      </w:r>
    </w:p>
    <w:bookmarkEnd w:id="383"/>
    <w:bookmarkStart w:name="z392" w:id="384"/>
    <w:p>
      <w:pPr>
        <w:spacing w:after="0"/>
        <w:ind w:left="0"/>
        <w:jc w:val="both"/>
      </w:pPr>
      <w:r>
        <w:rPr>
          <w:rFonts w:ascii="Times New Roman"/>
          <w:b w:val="false"/>
          <w:i w:val="false"/>
          <w:color w:val="000000"/>
          <w:sz w:val="28"/>
        </w:rPr>
        <w:t>
      б) отчеты по валидации очистки (химической и микробиологической);</w:t>
      </w:r>
    </w:p>
    <w:bookmarkEnd w:id="384"/>
    <w:bookmarkStart w:name="z393" w:id="385"/>
    <w:p>
      <w:pPr>
        <w:spacing w:after="0"/>
        <w:ind w:left="0"/>
        <w:jc w:val="both"/>
      </w:pPr>
      <w:r>
        <w:rPr>
          <w:rFonts w:ascii="Times New Roman"/>
          <w:b w:val="false"/>
          <w:i w:val="false"/>
          <w:color w:val="000000"/>
          <w:sz w:val="28"/>
        </w:rPr>
        <w:t xml:space="preserve">
      в) информацию об используемых моющих, дезинфицирующих средствах (включая данные по их эффективности, доказательства того, что указанные средства не создают помех для проведения аналитических испытаний на определение остатков активной фармацевтической субстанции, и оценку степени удаления остатков моющих и дезинфицирующих средств); </w:t>
      </w:r>
    </w:p>
    <w:bookmarkEnd w:id="385"/>
    <w:bookmarkStart w:name="z394" w:id="386"/>
    <w:p>
      <w:pPr>
        <w:spacing w:after="0"/>
        <w:ind w:left="0"/>
        <w:jc w:val="both"/>
      </w:pPr>
      <w:r>
        <w:rPr>
          <w:rFonts w:ascii="Times New Roman"/>
          <w:b w:val="false"/>
          <w:i w:val="false"/>
          <w:color w:val="000000"/>
          <w:sz w:val="28"/>
        </w:rPr>
        <w:t>
      г) тесты на выявление вещества (тесты восстановления) для валидации методик отбора проб.</w:t>
      </w:r>
    </w:p>
    <w:bookmarkEnd w:id="386"/>
    <w:bookmarkStart w:name="z395" w:id="387"/>
    <w:p>
      <w:pPr>
        <w:spacing w:after="0"/>
        <w:ind w:left="0"/>
        <w:jc w:val="both"/>
      </w:pPr>
      <w:r>
        <w:rPr>
          <w:rFonts w:ascii="Times New Roman"/>
          <w:b w:val="false"/>
          <w:i w:val="false"/>
          <w:color w:val="000000"/>
          <w:sz w:val="28"/>
        </w:rPr>
        <w:t>
      96. Перед трансфером передающая сторона должна предоставить принимающей стороне информацию о значениях пределов остаточных количеств продукта и обоснование выбора этих пределов. На основании информации о пределах остаточных количеств продукта, определенных передающим подразделением, принимающее подразделение должно определить свои собственные, практические, достижимые и подлежащие верификации пределы остаточных количеств продукта при валидации очистки, основываясь на используемых материалах, их свойствах и терапевтических дозах лекарственных средств. Определение таких пределов осуществляется на основании проведения соответствующего анализа рисков для качества.</w:t>
      </w:r>
    </w:p>
    <w:bookmarkEnd w:id="387"/>
    <w:bookmarkStart w:name="z396" w:id="388"/>
    <w:p>
      <w:pPr>
        <w:spacing w:after="0"/>
        <w:ind w:left="0"/>
        <w:jc w:val="both"/>
      </w:pPr>
      <w:r>
        <w:rPr>
          <w:rFonts w:ascii="Times New Roman"/>
          <w:b w:val="false"/>
          <w:i w:val="false"/>
          <w:color w:val="000000"/>
          <w:sz w:val="28"/>
        </w:rPr>
        <w:t xml:space="preserve">
      97. На основании информации, предоставленной передающей стороной, на площадке принимающей стороны следует разработать процедуры очистки. При разработке необходимо принимать во внимание соответствующие характеристики исходных материалов (например, активность, токсичность, растворимость, коррозионную активность, чувствительность к температуре), дизайн технологического оборудования, моющие и дезинфицирующие средства и допустимое остаточное содержание действующего и вспомогательных веществ. </w:t>
      </w:r>
    </w:p>
    <w:bookmarkEnd w:id="388"/>
    <w:bookmarkStart w:name="z397" w:id="389"/>
    <w:p>
      <w:pPr>
        <w:spacing w:after="0"/>
        <w:ind w:left="0"/>
        <w:jc w:val="left"/>
      </w:pPr>
      <w:r>
        <w:rPr>
          <w:rFonts w:ascii="Times New Roman"/>
          <w:b/>
          <w:i w:val="false"/>
          <w:color w:val="000000"/>
        </w:rPr>
        <w:t xml:space="preserve"> XV. Документация по трансферу </w:t>
      </w:r>
    </w:p>
    <w:bookmarkEnd w:id="389"/>
    <w:bookmarkStart w:name="z398" w:id="390"/>
    <w:p>
      <w:pPr>
        <w:spacing w:after="0"/>
        <w:ind w:left="0"/>
        <w:jc w:val="both"/>
      </w:pPr>
      <w:r>
        <w:rPr>
          <w:rFonts w:ascii="Times New Roman"/>
          <w:b w:val="false"/>
          <w:i w:val="false"/>
          <w:color w:val="000000"/>
          <w:sz w:val="28"/>
        </w:rPr>
        <w:t>
      98.      Документация, формируемая в рамках проекта по трансферу, варьируется в зависимости от типа трансфера, типа передаваемого лекарственного средства, возможностей и требований принимающей стороны. В таблице 2 представлен примерный перечень документов.</w:t>
      </w:r>
    </w:p>
    <w:bookmarkEnd w:id="390"/>
    <w:bookmarkStart w:name="z399" w:id="391"/>
    <w:p>
      <w:pPr>
        <w:spacing w:after="0"/>
        <w:ind w:left="0"/>
        <w:jc w:val="both"/>
      </w:pPr>
      <w:r>
        <w:rPr>
          <w:rFonts w:ascii="Times New Roman"/>
          <w:b w:val="false"/>
          <w:i w:val="false"/>
          <w:color w:val="000000"/>
          <w:sz w:val="28"/>
        </w:rPr>
        <w:t>
      В приложениях № 1 – 7 к настоящему Руководству приведены примеры форм основных документов. Принимающая и передающая стороны могут разработать собственные формы документов.</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01" w:id="392"/>
    <w:p>
      <w:pPr>
        <w:spacing w:after="0"/>
        <w:ind w:left="0"/>
        <w:jc w:val="left"/>
      </w:pPr>
      <w:r>
        <w:rPr>
          <w:rFonts w:ascii="Times New Roman"/>
          <w:b/>
          <w:i w:val="false"/>
          <w:color w:val="000000"/>
        </w:rPr>
        <w:t xml:space="preserve"> Примеры документов по трансферу </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Ключевая задача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Документация, представляемая передающей стороной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Документация по трансферу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соответствующего решения</w:t>
            </w:r>
          </w:p>
          <w:p>
            <w:pPr>
              <w:spacing w:after="20"/>
              <w:ind w:left="20"/>
              <w:jc w:val="both"/>
            </w:pPr>
            <w:r>
              <w:rPr>
                <w:rFonts w:ascii="Times New Roman"/>
                <w:b w:val="false"/>
                <w:i w:val="false"/>
                <w:color w:val="000000"/>
                <w:sz w:val="20"/>
              </w:rPr>
              <w:t>о трансфере, планирование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3"/>
          <w:p>
            <w:pPr>
              <w:spacing w:after="20"/>
              <w:ind w:left="20"/>
              <w:jc w:val="both"/>
            </w:pPr>
            <w:r>
              <w:rPr>
                <w:rFonts w:ascii="Times New Roman"/>
                <w:b w:val="false"/>
                <w:i w:val="false"/>
                <w:color w:val="000000"/>
                <w:sz w:val="20"/>
              </w:rPr>
              <w:t xml:space="preserve">
соглашение о трансфере (договор трансфера или иное соглашение, в котором отражены порядок и условия проведения процедуры трансфера), включая вопросы качества. </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план трансфера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 трансфера технологии</w:t>
            </w:r>
          </w:p>
          <w:p>
            <w:pPr>
              <w:spacing w:after="20"/>
              <w:ind w:left="20"/>
              <w:jc w:val="both"/>
            </w:pPr>
            <w:r>
              <w:rPr>
                <w:rFonts w:ascii="Times New Roman"/>
                <w:b w:val="false"/>
                <w:i w:val="false"/>
                <w:color w:val="000000"/>
                <w:sz w:val="20"/>
              </w:rPr>
              <w:t>
протокол трансфера аналитических методик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помещений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4"/>
          <w:p>
            <w:pPr>
              <w:spacing w:after="20"/>
              <w:ind w:left="20"/>
              <w:jc w:val="both"/>
            </w:pPr>
            <w:r>
              <w:rPr>
                <w:rFonts w:ascii="Times New Roman"/>
                <w:b w:val="false"/>
                <w:i w:val="false"/>
                <w:color w:val="000000"/>
                <w:sz w:val="20"/>
              </w:rPr>
              <w:t>
планы и планировка зданий и помещений (конструкция, финишная отделка)</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квалификационный статус (DQ</w:t>
            </w:r>
            <w:r>
              <w:rPr>
                <w:rFonts w:ascii="Times New Roman"/>
                <w:b w:val="false"/>
                <w:i w:val="false"/>
                <w:color w:val="000000"/>
                <w:vertAlign w:val="superscript"/>
              </w:rPr>
              <w:t>1</w:t>
            </w:r>
            <w:r>
              <w:rPr>
                <w:rFonts w:ascii="Times New Roman"/>
                <w:b w:val="false"/>
                <w:i w:val="false"/>
                <w:color w:val="000000"/>
                <w:sz w:val="20"/>
              </w:rPr>
              <w:t>, IQ</w:t>
            </w:r>
            <w:r>
              <w:rPr>
                <w:rFonts w:ascii="Times New Roman"/>
                <w:b w:val="false"/>
                <w:i w:val="false"/>
                <w:color w:val="000000"/>
                <w:vertAlign w:val="superscript"/>
              </w:rPr>
              <w:t>2</w:t>
            </w:r>
            <w:r>
              <w:rPr>
                <w:rFonts w:ascii="Times New Roman"/>
                <w:b w:val="false"/>
                <w:i w:val="false"/>
                <w:color w:val="000000"/>
                <w:sz w:val="20"/>
              </w:rPr>
              <w:t>, OQ</w:t>
            </w:r>
            <w:r>
              <w:rPr>
                <w:rFonts w:ascii="Times New Roman"/>
                <w:b w:val="false"/>
                <w:i w:val="false"/>
                <w:color w:val="000000"/>
                <w:vertAlign w:val="superscript"/>
              </w:rPr>
              <w:t>3</w:t>
            </w:r>
            <w:r>
              <w:rPr>
                <w:rFonts w:ascii="Times New Roman"/>
                <w:b w:val="false"/>
                <w:i w:val="false"/>
                <w:color w:val="000000"/>
                <w:sz w:val="20"/>
              </w:rPr>
              <w:t>) и отчеты по квалификации</w:t>
            </w:r>
          </w:p>
          <w:p>
            <w:pPr>
              <w:spacing w:after="20"/>
              <w:ind w:left="20"/>
              <w:jc w:val="both"/>
            </w:pPr>
            <w:r>
              <w:rPr>
                <w:rFonts w:ascii="Times New Roman"/>
                <w:b w:val="false"/>
                <w:i w:val="false"/>
                <w:color w:val="000000"/>
                <w:sz w:val="20"/>
              </w:rPr>
              <w:t>
инвентарный перечень всего оборудования и систем, включая типы, модели, статус квалификации IQ, OQ, PQ</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5"/>
          <w:p>
            <w:pPr>
              <w:spacing w:after="20"/>
              <w:ind w:left="20"/>
              <w:jc w:val="both"/>
            </w:pPr>
            <w:r>
              <w:rPr>
                <w:rFonts w:ascii="Times New Roman"/>
                <w:b w:val="false"/>
                <w:i w:val="false"/>
                <w:color w:val="000000"/>
                <w:sz w:val="20"/>
              </w:rPr>
              <w:t xml:space="preserve">
сравнение с помещениями и зданиями принимающей стороны. </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анализ расхождений</w:t>
            </w:r>
          </w:p>
          <w:p>
            <w:pPr>
              <w:spacing w:after="20"/>
              <w:ind w:left="20"/>
              <w:jc w:val="both"/>
            </w:pPr>
            <w:r>
              <w:rPr>
                <w:rFonts w:ascii="Times New Roman"/>
                <w:b w:val="false"/>
                <w:i w:val="false"/>
                <w:color w:val="000000"/>
                <w:sz w:val="20"/>
              </w:rPr>
              <w:t xml:space="preserve">
протокол оценки (анализа) рисков для качества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трансфера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протоколы и отчеты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охране труда 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6"/>
          <w:p>
            <w:pPr>
              <w:spacing w:after="20"/>
              <w:ind w:left="20"/>
              <w:jc w:val="both"/>
            </w:pPr>
            <w:r>
              <w:rPr>
                <w:rFonts w:ascii="Times New Roman"/>
                <w:b w:val="false"/>
                <w:i w:val="false"/>
                <w:color w:val="000000"/>
                <w:sz w:val="20"/>
              </w:rPr>
              <w:t>
специфические для лекарственного средства планы по управлению отходами</w:t>
            </w:r>
          </w:p>
          <w:bookmarkEnd w:id="396"/>
          <w:p>
            <w:pPr>
              <w:spacing w:after="20"/>
              <w:ind w:left="20"/>
              <w:jc w:val="both"/>
            </w:pPr>
            <w:r>
              <w:rPr>
                <w:rFonts w:ascii="Times New Roman"/>
                <w:b w:val="false"/>
                <w:i w:val="false"/>
                <w:color w:val="000000"/>
                <w:sz w:val="20"/>
              </w:rPr>
              <w:t>
планы действий в экстренных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принимающей стороной внутренней документации по охране труда и технике безопасности, по использованию средств индивидуальной защиты, по управлению отходами, по действиям в экстренных ситуациях и т.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Документальное оформление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стандартные операционные процедуры, чертежи, руководства, журналы регистрации и т. 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принимающей стороной внутренней документации (регламенты, спецификации, процедуры, стандартные операционные процедуры (методики испытаний)) на основе документации, полученной от передающей стороны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ключевых навыков и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рабочие процедуры и документация по обучению</w:t>
            </w:r>
          </w:p>
          <w:p>
            <w:pPr>
              <w:spacing w:after="20"/>
              <w:ind w:left="20"/>
              <w:jc w:val="both"/>
            </w:pPr>
            <w:r>
              <w:rPr>
                <w:rFonts w:ascii="Times New Roman"/>
                <w:b w:val="false"/>
                <w:i w:val="false"/>
                <w:color w:val="000000"/>
                <w:sz w:val="20"/>
              </w:rPr>
              <w:t>(операции, связанные со спецификой лекарственного средства, анализ,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обучения, результаты оценки знаний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аналитических методик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спецификации, стандартные операционные процедуры </w:t>
            </w:r>
          </w:p>
          <w:p>
            <w:pPr>
              <w:spacing w:after="20"/>
              <w:ind w:left="20"/>
              <w:jc w:val="both"/>
            </w:pPr>
            <w:r>
              <w:rPr>
                <w:rFonts w:ascii="Times New Roman"/>
                <w:b w:val="false"/>
                <w:i w:val="false"/>
                <w:color w:val="000000"/>
                <w:sz w:val="20"/>
              </w:rPr>
              <w:t>(методики испытаний, включая методики по контролю в процессе производства), документы по валидации аналитических методик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7"/>
          <w:p>
            <w:pPr>
              <w:spacing w:after="20"/>
              <w:ind w:left="20"/>
              <w:jc w:val="both"/>
            </w:pPr>
            <w:r>
              <w:rPr>
                <w:rFonts w:ascii="Times New Roman"/>
                <w:b w:val="false"/>
                <w:i w:val="false"/>
                <w:color w:val="000000"/>
                <w:sz w:val="20"/>
              </w:rPr>
              <w:t>
экспериментальный план трансфера</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протоколы и валидационные отчеты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 трансфера и отчет о трансфере аналитических методик</w:t>
            </w:r>
          </w:p>
          <w:p>
            <w:pPr>
              <w:spacing w:after="20"/>
              <w:ind w:left="20"/>
              <w:jc w:val="both"/>
            </w:pPr>
            <w:r>
              <w:rPr>
                <w:rFonts w:ascii="Times New Roman"/>
                <w:b w:val="false"/>
                <w:i w:val="false"/>
                <w:color w:val="000000"/>
                <w:sz w:val="20"/>
              </w:rPr>
              <w:t>
стандартные операционные процедуры (методики испытаний)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процесса производства лекарственного средства и упаковки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8"/>
          <w:p>
            <w:pPr>
              <w:spacing w:after="20"/>
              <w:ind w:left="20"/>
              <w:jc w:val="both"/>
            </w:pPr>
            <w:r>
              <w:rPr>
                <w:rFonts w:ascii="Times New Roman"/>
                <w:b w:val="false"/>
                <w:i w:val="false"/>
                <w:color w:val="000000"/>
                <w:sz w:val="20"/>
              </w:rPr>
              <w:t>
эталонные серии лекарственного средства (серии для клинических исследований, серии для исследования биологических характеристик, серии регистрационного досье)</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отчет по разработке (обоснование производственного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история изменений критических показателей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обоснование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 по контролю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критические параметры процесса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отчеты по валидации процесса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мастер-файл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валидационный статус активных фармацевтических субстанций и отчет (отчеты)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по стабильности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действующие производственные рецептуры, технологические инструкции, инструкции по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произведенных серий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отчеты по отклонениям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расследования, рекламации, отзывы</w:t>
            </w:r>
          </w:p>
          <w:p>
            <w:pPr>
              <w:spacing w:after="20"/>
              <w:ind w:left="20"/>
              <w:jc w:val="both"/>
            </w:pPr>
            <w:r>
              <w:rPr>
                <w:rFonts w:ascii="Times New Roman"/>
                <w:b w:val="false"/>
                <w:i w:val="false"/>
                <w:color w:val="000000"/>
                <w:sz w:val="20"/>
              </w:rPr>
              <w:t>
ежегодный обзор качества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9"/>
          <w:p>
            <w:pPr>
              <w:spacing w:after="20"/>
              <w:ind w:left="20"/>
              <w:jc w:val="both"/>
            </w:pPr>
            <w:r>
              <w:rPr>
                <w:rFonts w:ascii="Times New Roman"/>
                <w:b w:val="false"/>
                <w:i w:val="false"/>
                <w:color w:val="000000"/>
                <w:sz w:val="20"/>
              </w:rPr>
              <w:t>
документы по разработке процесса производства</w:t>
            </w:r>
          </w:p>
          <w:bookmarkEnd w:id="399"/>
          <w:p>
            <w:pPr>
              <w:spacing w:after="20"/>
              <w:ind w:left="20"/>
              <w:jc w:val="both"/>
            </w:pPr>
            <w:r>
              <w:rPr>
                <w:rFonts w:ascii="Times New Roman"/>
                <w:b w:val="false"/>
                <w:i w:val="false"/>
                <w:color w:val="000000"/>
                <w:sz w:val="20"/>
              </w:rPr>
              <w:t>на площадке принимающей стороны (производство опытно-промышленных (пилотных) серий))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процесса производства на площадке принимающей стороны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 трансфера технологии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 производству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 упаковке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 и отчет по валидации процесса производства</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валидация очистки, включая информацию по растворимости, терапевтические дозы лекарственного средства, токсикологическую оценку, существующие стандартные рабочие процедуры очистки, валидационные отчеты (химия и микробиология), используемые средства; </w:t>
            </w:r>
          </w:p>
          <w:p>
            <w:pPr>
              <w:spacing w:after="20"/>
              <w:ind w:left="20"/>
              <w:jc w:val="both"/>
            </w:pPr>
            <w:r>
              <w:rPr>
                <w:rFonts w:ascii="Times New Roman"/>
                <w:b w:val="false"/>
                <w:i w:val="false"/>
                <w:color w:val="000000"/>
                <w:sz w:val="20"/>
              </w:rPr>
              <w:t>исследования по восстановлению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0"/>
          <w:p>
            <w:pPr>
              <w:spacing w:after="20"/>
              <w:ind w:left="20"/>
              <w:jc w:val="both"/>
            </w:pPr>
            <w:r>
              <w:rPr>
                <w:rFonts w:ascii="Times New Roman"/>
                <w:b w:val="false"/>
                <w:i w:val="false"/>
                <w:color w:val="000000"/>
                <w:sz w:val="20"/>
              </w:rPr>
              <w:t xml:space="preserve">
специфические для лекарственного средства и производственной площадки, стандартные операционные процедуры очистки на производственной площадке </w:t>
            </w:r>
          </w:p>
          <w:bookmarkEnd w:id="400"/>
          <w:p>
            <w:pPr>
              <w:spacing w:after="20"/>
              <w:ind w:left="20"/>
              <w:jc w:val="both"/>
            </w:pPr>
            <w:r>
              <w:rPr>
                <w:rFonts w:ascii="Times New Roman"/>
                <w:b w:val="false"/>
                <w:i w:val="false"/>
                <w:color w:val="000000"/>
                <w:sz w:val="20"/>
              </w:rPr>
              <w:t xml:space="preserve">принимающей стороны </w:t>
            </w:r>
          </w:p>
          <w:p>
            <w:pPr>
              <w:spacing w:after="20"/>
              <w:ind w:left="20"/>
              <w:jc w:val="both"/>
            </w:pPr>
            <w:r>
              <w:rPr>
                <w:rFonts w:ascii="Times New Roman"/>
                <w:b w:val="false"/>
                <w:i w:val="false"/>
                <w:color w:val="000000"/>
                <w:sz w:val="20"/>
              </w:rPr>
              <w:t>
протокол и отчет по валидации очистки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трансфере </w:t>
            </w:r>
          </w:p>
        </w:tc>
      </w:tr>
    </w:tbl>
    <w:bookmarkStart w:name="z434" w:id="401"/>
    <w:p>
      <w:pPr>
        <w:spacing w:after="0"/>
        <w:ind w:left="0"/>
        <w:jc w:val="both"/>
      </w:pPr>
      <w:r>
        <w:rPr>
          <w:rFonts w:ascii="Times New Roman"/>
          <w:b w:val="false"/>
          <w:i w:val="false"/>
          <w:color w:val="000000"/>
          <w:sz w:val="28"/>
        </w:rPr>
        <w:t>
      ___________________</w:t>
      </w:r>
    </w:p>
    <w:bookmarkEnd w:id="401"/>
    <w:bookmarkStart w:name="z435" w:id="4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DQ – квалификация проекта</w:t>
      </w:r>
    </w:p>
    <w:bookmarkEnd w:id="402"/>
    <w:bookmarkStart w:name="z436" w:id="4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IQ – квалификация монтажа</w:t>
      </w:r>
    </w:p>
    <w:bookmarkEnd w:id="403"/>
    <w:bookmarkStart w:name="z437" w:id="4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OQ – квалификация функционирования</w:t>
      </w:r>
    </w:p>
    <w:bookmarkEnd w:id="404"/>
    <w:bookmarkStart w:name="z438" w:id="4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PQ - квалификация эксплуатации.</w:t>
      </w:r>
    </w:p>
    <w:bookmarkEnd w:id="405"/>
    <w:bookmarkStart w:name="z439" w:id="406"/>
    <w:p>
      <w:pPr>
        <w:spacing w:after="0"/>
        <w:ind w:left="0"/>
        <w:jc w:val="left"/>
      </w:pPr>
      <w:r>
        <w:rPr>
          <w:rFonts w:ascii="Times New Roman"/>
          <w:b/>
          <w:i w:val="false"/>
          <w:color w:val="000000"/>
        </w:rPr>
        <w:t xml:space="preserve"> XVI. Оформление результатов трансфера и проведение оценки эффективности трансфера по достижению установленных критериев успешности</w:t>
      </w:r>
    </w:p>
    <w:bookmarkEnd w:id="406"/>
    <w:bookmarkStart w:name="z440" w:id="407"/>
    <w:p>
      <w:pPr>
        <w:spacing w:after="0"/>
        <w:ind w:left="0"/>
        <w:jc w:val="both"/>
      </w:pPr>
      <w:r>
        <w:rPr>
          <w:rFonts w:ascii="Times New Roman"/>
          <w:b w:val="false"/>
          <w:i w:val="false"/>
          <w:color w:val="000000"/>
          <w:sz w:val="28"/>
        </w:rPr>
        <w:t>
      99. Указание о том, что трансфер осуществлен успешно, должно быть оформлено документально в виде вывода в отчете о трансфере. Этот отчет должен в кратком виде описывать:</w:t>
      </w:r>
    </w:p>
    <w:bookmarkEnd w:id="407"/>
    <w:bookmarkStart w:name="z441" w:id="408"/>
    <w:p>
      <w:pPr>
        <w:spacing w:after="0"/>
        <w:ind w:left="0"/>
        <w:jc w:val="both"/>
      </w:pPr>
      <w:r>
        <w:rPr>
          <w:rFonts w:ascii="Times New Roman"/>
          <w:b w:val="false"/>
          <w:i w:val="false"/>
          <w:color w:val="000000"/>
          <w:sz w:val="28"/>
        </w:rPr>
        <w:t xml:space="preserve">
      а) область (границы и (или) объект) трансфера, </w:t>
      </w:r>
    </w:p>
    <w:bookmarkEnd w:id="408"/>
    <w:bookmarkStart w:name="z442" w:id="409"/>
    <w:p>
      <w:pPr>
        <w:spacing w:after="0"/>
        <w:ind w:left="0"/>
        <w:jc w:val="both"/>
      </w:pPr>
      <w:r>
        <w:rPr>
          <w:rFonts w:ascii="Times New Roman"/>
          <w:b w:val="false"/>
          <w:i w:val="false"/>
          <w:color w:val="000000"/>
          <w:sz w:val="28"/>
        </w:rPr>
        <w:t xml:space="preserve">
      б) критерии успешности, </w:t>
      </w:r>
    </w:p>
    <w:bookmarkEnd w:id="409"/>
    <w:bookmarkStart w:name="z443" w:id="410"/>
    <w:p>
      <w:pPr>
        <w:spacing w:after="0"/>
        <w:ind w:left="0"/>
        <w:jc w:val="both"/>
      </w:pPr>
      <w:r>
        <w:rPr>
          <w:rFonts w:ascii="Times New Roman"/>
          <w:b w:val="false"/>
          <w:i w:val="false"/>
          <w:color w:val="000000"/>
          <w:sz w:val="28"/>
        </w:rPr>
        <w:t>
      в) критические параметры процесса производства, критические параметры качества, определенные передающей и принимающей сторонами, которые следует изложить в виде таблицы;</w:t>
      </w:r>
    </w:p>
    <w:bookmarkEnd w:id="410"/>
    <w:bookmarkStart w:name="z444" w:id="411"/>
    <w:p>
      <w:pPr>
        <w:spacing w:after="0"/>
        <w:ind w:left="0"/>
        <w:jc w:val="both"/>
      </w:pPr>
      <w:r>
        <w:rPr>
          <w:rFonts w:ascii="Times New Roman"/>
          <w:b w:val="false"/>
          <w:i w:val="false"/>
          <w:color w:val="000000"/>
          <w:sz w:val="28"/>
        </w:rPr>
        <w:t>
      г) исполнение протокола трансфера технологии, обзор всех стадий трансфера;</w:t>
      </w:r>
    </w:p>
    <w:bookmarkEnd w:id="411"/>
    <w:bookmarkStart w:name="z445" w:id="412"/>
    <w:p>
      <w:pPr>
        <w:spacing w:after="0"/>
        <w:ind w:left="0"/>
        <w:jc w:val="both"/>
      </w:pPr>
      <w:r>
        <w:rPr>
          <w:rFonts w:ascii="Times New Roman"/>
          <w:b w:val="false"/>
          <w:i w:val="false"/>
          <w:color w:val="000000"/>
          <w:sz w:val="28"/>
        </w:rPr>
        <w:t xml:space="preserve">
      д) отклонения от протокола трансфера, а также соответствующие действия, в случае необходимости направленные на их устранение. </w:t>
      </w:r>
    </w:p>
    <w:bookmarkEnd w:id="412"/>
    <w:bookmarkStart w:name="z446" w:id="413"/>
    <w:p>
      <w:pPr>
        <w:spacing w:after="0"/>
        <w:ind w:left="0"/>
        <w:jc w:val="both"/>
      </w:pPr>
      <w:r>
        <w:rPr>
          <w:rFonts w:ascii="Times New Roman"/>
          <w:b w:val="false"/>
          <w:i w:val="false"/>
          <w:color w:val="000000"/>
          <w:sz w:val="28"/>
        </w:rPr>
        <w:t>
      Определение необходимости разработки плана корректирующих и предупреждающих действий по выявленным отклонениям и оказание поддержки со стороны передающей стороны;</w:t>
      </w:r>
    </w:p>
    <w:bookmarkEnd w:id="413"/>
    <w:bookmarkStart w:name="z447" w:id="414"/>
    <w:p>
      <w:pPr>
        <w:spacing w:after="0"/>
        <w:ind w:left="0"/>
        <w:jc w:val="both"/>
      </w:pPr>
      <w:r>
        <w:rPr>
          <w:rFonts w:ascii="Times New Roman"/>
          <w:b w:val="false"/>
          <w:i w:val="false"/>
          <w:color w:val="000000"/>
          <w:sz w:val="28"/>
        </w:rPr>
        <w:t>
      е) итоги трансфера технологии;</w:t>
      </w:r>
    </w:p>
    <w:bookmarkEnd w:id="414"/>
    <w:bookmarkStart w:name="z448" w:id="415"/>
    <w:p>
      <w:pPr>
        <w:spacing w:after="0"/>
        <w:ind w:left="0"/>
        <w:jc w:val="both"/>
      </w:pPr>
      <w:r>
        <w:rPr>
          <w:rFonts w:ascii="Times New Roman"/>
          <w:b w:val="false"/>
          <w:i w:val="false"/>
          <w:color w:val="000000"/>
          <w:sz w:val="28"/>
        </w:rPr>
        <w:t>
      ж) оценка эффективности трансфера по достижению установленных критериев успешности;</w:t>
      </w:r>
    </w:p>
    <w:bookmarkEnd w:id="415"/>
    <w:bookmarkStart w:name="z449" w:id="416"/>
    <w:p>
      <w:pPr>
        <w:spacing w:after="0"/>
        <w:ind w:left="0"/>
        <w:jc w:val="both"/>
      </w:pPr>
      <w:r>
        <w:rPr>
          <w:rFonts w:ascii="Times New Roman"/>
          <w:b w:val="false"/>
          <w:i w:val="false"/>
          <w:color w:val="000000"/>
          <w:sz w:val="28"/>
        </w:rPr>
        <w:t>
      з) общий вывод, включая одобрение менеджером проекта с отметкой об окончании передачи.</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Руководству по трансферу технологий и (или)</w:t>
            </w:r>
            <w:r>
              <w:br/>
            </w:r>
            <w:r>
              <w:rPr>
                <w:rFonts w:ascii="Times New Roman"/>
                <w:b w:val="false"/>
                <w:i w:val="false"/>
                <w:color w:val="000000"/>
                <w:sz w:val="20"/>
              </w:rPr>
              <w:t>аналитических методик при</w:t>
            </w:r>
            <w:r>
              <w:br/>
            </w:r>
            <w:r>
              <w:rPr>
                <w:rFonts w:ascii="Times New Roman"/>
                <w:b w:val="false"/>
                <w:i w:val="false"/>
                <w:color w:val="000000"/>
                <w:sz w:val="20"/>
              </w:rPr>
              <w:t>производстве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2" w:id="417"/>
    <w:p>
      <w:pPr>
        <w:spacing w:after="0"/>
        <w:ind w:left="0"/>
        <w:jc w:val="left"/>
      </w:pPr>
      <w:r>
        <w:rPr>
          <w:rFonts w:ascii="Times New Roman"/>
          <w:b/>
          <w:i w:val="false"/>
          <w:color w:val="000000"/>
        </w:rPr>
        <w:t xml:space="preserve"> ПЛАН</w:t>
      </w:r>
      <w:r>
        <w:br/>
      </w:r>
      <w:r>
        <w:rPr>
          <w:rFonts w:ascii="Times New Roman"/>
          <w:b/>
          <w:i w:val="false"/>
          <w:color w:val="000000"/>
        </w:rPr>
        <w:t>трансфера технологии</w:t>
      </w:r>
    </w:p>
    <w:bookmarkEnd w:id="417"/>
    <w:bookmarkStart w:name="z453" w:id="418"/>
    <w:p>
      <w:pPr>
        <w:spacing w:after="0"/>
        <w:ind w:left="0"/>
        <w:jc w:val="both"/>
      </w:pPr>
      <w:r>
        <w:rPr>
          <w:rFonts w:ascii="Times New Roman"/>
          <w:b w:val="false"/>
          <w:i w:val="false"/>
          <w:color w:val="000000"/>
          <w:sz w:val="28"/>
        </w:rPr>
        <w:t>
      Представленная ниже форма плана трансфера технологии является примером. Фактический план трансфера технологии может иметь иную последовательность расположения пунктов плана или иное его содержание, определяющее обязанности сторон.</w:t>
      </w:r>
    </w:p>
    <w:bookmarkEnd w:id="418"/>
    <w:bookmarkStart w:name="z454" w:id="419"/>
    <w:p>
      <w:pPr>
        <w:spacing w:after="0"/>
        <w:ind w:left="0"/>
        <w:jc w:val="both"/>
      </w:pPr>
      <w:r>
        <w:rPr>
          <w:rFonts w:ascii="Times New Roman"/>
          <w:b w:val="false"/>
          <w:i w:val="false"/>
          <w:color w:val="000000"/>
          <w:sz w:val="28"/>
        </w:rPr>
        <w:t xml:space="preserve">
      Номер документа </w:t>
      </w:r>
    </w:p>
    <w:bookmarkEnd w:id="419"/>
    <w:bookmarkStart w:name="z455" w:id="420"/>
    <w:p>
      <w:pPr>
        <w:spacing w:after="0"/>
        <w:ind w:left="0"/>
        <w:jc w:val="both"/>
      </w:pPr>
      <w:r>
        <w:rPr>
          <w:rFonts w:ascii="Times New Roman"/>
          <w:b w:val="false"/>
          <w:i w:val="false"/>
          <w:color w:val="000000"/>
          <w:sz w:val="28"/>
        </w:rPr>
        <w:t>
      Область (границы и (или) объект трансфера) "</w:t>
      </w:r>
      <w:r>
        <w:rPr>
          <w:rFonts w:ascii="Times New Roman"/>
          <w:b w:val="false"/>
          <w:i/>
          <w:color w:val="000000"/>
          <w:sz w:val="28"/>
        </w:rPr>
        <w:t>Привести название лекарственного средства или стадии процесса"</w:t>
      </w:r>
    </w:p>
    <w:bookmarkEnd w:id="420"/>
    <w:bookmarkStart w:name="z456" w:id="421"/>
    <w:p>
      <w:pPr>
        <w:spacing w:after="0"/>
        <w:ind w:left="0"/>
        <w:jc w:val="both"/>
      </w:pPr>
      <w:r>
        <w:rPr>
          <w:rFonts w:ascii="Times New Roman"/>
          <w:b w:val="false"/>
          <w:i w:val="false"/>
          <w:color w:val="000000"/>
          <w:sz w:val="28"/>
        </w:rPr>
        <w:t xml:space="preserve">
      1. Цели трансфера </w:t>
      </w:r>
    </w:p>
    <w:bookmarkEnd w:id="421"/>
    <w:bookmarkStart w:name="z457" w:id="422"/>
    <w:p>
      <w:pPr>
        <w:spacing w:after="0"/>
        <w:ind w:left="0"/>
        <w:jc w:val="both"/>
      </w:pPr>
      <w:r>
        <w:rPr>
          <w:rFonts w:ascii="Times New Roman"/>
          <w:b w:val="false"/>
          <w:i w:val="false"/>
          <w:color w:val="000000"/>
          <w:sz w:val="28"/>
        </w:rPr>
        <w:t>
      2. Ответственность сторон:</w:t>
      </w:r>
    </w:p>
    <w:bookmarkEnd w:id="4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ответственности</w:t>
            </w:r>
          </w:p>
        </w:tc>
        <w:tc>
          <w:tcPr>
            <w:tcW w:w="6150" w:type="dxa"/>
            <w:tcBorders/>
            <w:tcMar>
              <w:top w:w="15" w:type="dxa"/>
              <w:left w:w="15" w:type="dxa"/>
              <w:bottom w:w="15" w:type="dxa"/>
              <w:right w:w="15" w:type="dxa"/>
            </w:tcMar>
            <w:vAlign w:val="center"/>
          </w:tcPr>
          <w:bookmarkStart w:name="z458" w:id="423"/>
          <w:p>
            <w:pPr>
              <w:spacing w:after="20"/>
              <w:ind w:left="20"/>
              <w:jc w:val="both"/>
            </w:pPr>
            <w:r>
              <w:rPr>
                <w:rFonts w:ascii="Times New Roman"/>
                <w:b w:val="false"/>
                <w:i w:val="false"/>
                <w:color w:val="000000"/>
                <w:sz w:val="20"/>
              </w:rPr>
              <w:t>
Ответственная сторона</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(передающая сторона или принимающая сторона)</w:t>
            </w:r>
          </w:p>
          <w:p>
            <w:pPr>
              <w:spacing w:after="20"/>
              <w:ind w:left="20"/>
              <w:jc w:val="both"/>
            </w:pPr>
            <w:r>
              <w:rPr>
                <w:rFonts w:ascii="Times New Roman"/>
                <w:b w:val="false"/>
                <w:i w:val="false"/>
                <w:color w:val="000000"/>
                <w:sz w:val="20"/>
              </w:rPr>
              <w:t xml:space="preserve">
(указать ФИО ответственного лица, </w:t>
            </w:r>
          </w:p>
          <w:p>
            <w:pPr>
              <w:spacing w:after="20"/>
              <w:ind w:left="20"/>
              <w:jc w:val="both"/>
            </w:pPr>
            <w:r>
              <w:rPr>
                <w:rFonts w:ascii="Times New Roman"/>
                <w:b w:val="false"/>
                <w:i w:val="false"/>
                <w:color w:val="000000"/>
                <w:sz w:val="20"/>
              </w:rPr>
              <w:t xml:space="preserve">если это известно на данном этапе)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 w:id="424"/>
    <w:p>
      <w:pPr>
        <w:spacing w:after="0"/>
        <w:ind w:left="0"/>
        <w:jc w:val="both"/>
      </w:pPr>
      <w:r>
        <w:rPr>
          <w:rFonts w:ascii="Times New Roman"/>
          <w:b w:val="false"/>
          <w:i w:val="false"/>
          <w:color w:val="000000"/>
          <w:sz w:val="28"/>
        </w:rPr>
        <w:t>
      3. Объем трансфера, временные рамки</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трансфера</w:t>
            </w:r>
            <w:r>
              <w:rPr>
                <w:rFonts w:ascii="Times New Roman"/>
                <w:b w:val="false"/>
                <w:i w:val="false"/>
                <w:color w:val="000000"/>
                <w:vertAlign w:val="superscript"/>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завершения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группы (команды) проекта по трансферу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Консолидация знаний, анализ расхождений и рисков для качества, контроль изменений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обучения персонала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стратегии по квалификации и валидации помещений, оборудования, инженерных систем.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документации по трансферу (соглашение, план трансфера, протокол трансфера, регламент, стандартные операционные процедуры (методики испытаний), спецификации,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протокола трансфера аналитических методик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протокола трансфера технологии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опытно – промышленных (пилотных) и (или) инженерных серий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валидационных серий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очистки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результатов трансфера, контроль изменений и проведение оценки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25"/>
          <w:p>
            <w:pPr>
              <w:spacing w:after="20"/>
              <w:ind w:left="20"/>
              <w:jc w:val="both"/>
            </w:pPr>
            <w:r>
              <w:rPr>
                <w:rFonts w:ascii="Times New Roman"/>
                <w:b w:val="false"/>
                <w:i w:val="false"/>
                <w:color w:val="000000"/>
                <w:sz w:val="20"/>
              </w:rPr>
              <w:t>
Подготовка документации регистрационного досье лекарственного препарата для его регистрации (перерегистрации)</w:t>
            </w:r>
          </w:p>
          <w:bookmarkEnd w:id="425"/>
          <w:p>
            <w:pPr>
              <w:spacing w:after="20"/>
              <w:ind w:left="20"/>
              <w:jc w:val="both"/>
            </w:pPr>
            <w:r>
              <w:rPr>
                <w:rFonts w:ascii="Times New Roman"/>
                <w:b w:val="false"/>
                <w:i w:val="false"/>
                <w:color w:val="000000"/>
                <w:sz w:val="20"/>
              </w:rPr>
              <w:t>
</w:t>
            </w:r>
            <w:r>
              <w:rPr>
                <w:rFonts w:ascii="Times New Roman"/>
                <w:b w:val="false"/>
                <w:i/>
                <w:color w:val="000000"/>
                <w:sz w:val="20"/>
              </w:rPr>
              <w:t>(данный вид работ может проходить как в рамках проекта по трансферу, так и выходить за временные рамки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4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Задачи трансфера в настоящем пункте плана приведены в качестве примера и могут быть сформулированы иначе, в зависимости от целей и назначения трансфера.</w:t>
      </w:r>
    </w:p>
    <w:bookmarkEnd w:id="426"/>
    <w:bookmarkStart w:name="z463" w:id="427"/>
    <w:p>
      <w:pPr>
        <w:spacing w:after="0"/>
        <w:ind w:left="0"/>
        <w:jc w:val="both"/>
      </w:pPr>
      <w:r>
        <w:rPr>
          <w:rFonts w:ascii="Times New Roman"/>
          <w:b w:val="false"/>
          <w:i w:val="false"/>
          <w:color w:val="000000"/>
          <w:sz w:val="28"/>
        </w:rPr>
        <w:t xml:space="preserve">
      4. Обоснование объема повторной валидации (при необходимости) </w:t>
      </w:r>
    </w:p>
    <w:bookmarkEnd w:id="427"/>
    <w:bookmarkStart w:name="z464" w:id="428"/>
    <w:p>
      <w:pPr>
        <w:spacing w:after="0"/>
        <w:ind w:left="0"/>
        <w:jc w:val="both"/>
      </w:pPr>
      <w:r>
        <w:rPr>
          <w:rFonts w:ascii="Times New Roman"/>
          <w:b w:val="false"/>
          <w:i w:val="false"/>
          <w:color w:val="000000"/>
          <w:sz w:val="28"/>
        </w:rPr>
        <w:t>
      5. Персонал (ФИО, квалификация)</w:t>
      </w:r>
    </w:p>
    <w:bookmarkEnd w:id="428"/>
    <w:bookmarkStart w:name="z465" w:id="429"/>
    <w:p>
      <w:pPr>
        <w:spacing w:after="0"/>
        <w:ind w:left="0"/>
        <w:jc w:val="both"/>
      </w:pPr>
      <w:r>
        <w:rPr>
          <w:rFonts w:ascii="Times New Roman"/>
          <w:b w:val="false"/>
          <w:i w:val="false"/>
          <w:color w:val="000000"/>
          <w:sz w:val="28"/>
        </w:rPr>
        <w:t>
      6. Порядок проведения тренингов (обучения) персонала, оценка результатов</w:t>
      </w:r>
    </w:p>
    <w:bookmarkEnd w:id="429"/>
    <w:bookmarkStart w:name="z466" w:id="430"/>
    <w:p>
      <w:pPr>
        <w:spacing w:after="0"/>
        <w:ind w:left="0"/>
        <w:jc w:val="both"/>
      </w:pPr>
      <w:r>
        <w:rPr>
          <w:rFonts w:ascii="Times New Roman"/>
          <w:b w:val="false"/>
          <w:i w:val="false"/>
          <w:color w:val="000000"/>
          <w:sz w:val="28"/>
        </w:rPr>
        <w:t xml:space="preserve">
      7. Критерии приемлемости и успешности трансфера </w:t>
      </w:r>
    </w:p>
    <w:bookmarkEnd w:id="430"/>
    <w:bookmarkStart w:name="z467" w:id="431"/>
    <w:p>
      <w:pPr>
        <w:spacing w:after="0"/>
        <w:ind w:left="0"/>
        <w:jc w:val="both"/>
      </w:pPr>
      <w:r>
        <w:rPr>
          <w:rFonts w:ascii="Times New Roman"/>
          <w:b w:val="false"/>
          <w:i w:val="false"/>
          <w:color w:val="000000"/>
          <w:sz w:val="28"/>
        </w:rPr>
        <w:t xml:space="preserve">
      8. Перечень документации предоставляемой передающей стороной </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Руководству по трансферу</w:t>
            </w:r>
            <w:r>
              <w:br/>
            </w:r>
            <w:r>
              <w:rPr>
                <w:rFonts w:ascii="Times New Roman"/>
                <w:b w:val="false"/>
                <w:i w:val="false"/>
                <w:color w:val="000000"/>
                <w:sz w:val="20"/>
              </w:rPr>
              <w:t>технологий и (или)</w:t>
            </w:r>
            <w:r>
              <w:br/>
            </w:r>
            <w:r>
              <w:rPr>
                <w:rFonts w:ascii="Times New Roman"/>
                <w:b w:val="false"/>
                <w:i w:val="false"/>
                <w:color w:val="000000"/>
                <w:sz w:val="20"/>
              </w:rPr>
              <w:t>аналитических методик при</w:t>
            </w:r>
            <w:r>
              <w:br/>
            </w:r>
            <w:r>
              <w:rPr>
                <w:rFonts w:ascii="Times New Roman"/>
                <w:b w:val="false"/>
                <w:i w:val="false"/>
                <w:color w:val="000000"/>
                <w:sz w:val="20"/>
              </w:rPr>
              <w:t>производстве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0" w:id="432"/>
    <w:p>
      <w:pPr>
        <w:spacing w:after="0"/>
        <w:ind w:left="0"/>
        <w:jc w:val="left"/>
      </w:pPr>
      <w:r>
        <w:rPr>
          <w:rFonts w:ascii="Times New Roman"/>
          <w:b/>
          <w:i w:val="false"/>
          <w:color w:val="000000"/>
        </w:rPr>
        <w:t xml:space="preserve"> ПЛАН</w:t>
      </w:r>
      <w:r>
        <w:br/>
      </w:r>
      <w:r>
        <w:rPr>
          <w:rFonts w:ascii="Times New Roman"/>
          <w:b/>
          <w:i w:val="false"/>
          <w:color w:val="000000"/>
        </w:rPr>
        <w:t>трансфера аналитических методик</w:t>
      </w:r>
    </w:p>
    <w:bookmarkEnd w:id="432"/>
    <w:bookmarkStart w:name="z471" w:id="433"/>
    <w:p>
      <w:pPr>
        <w:spacing w:after="0"/>
        <w:ind w:left="0"/>
        <w:jc w:val="both"/>
      </w:pPr>
      <w:r>
        <w:rPr>
          <w:rFonts w:ascii="Times New Roman"/>
          <w:b w:val="false"/>
          <w:i w:val="false"/>
          <w:color w:val="000000"/>
          <w:sz w:val="28"/>
        </w:rPr>
        <w:t>
      Представленная ниже форма плана трансфера аналитических методик является примером. Фактический план трансфера технологии может иметь иную последовательность расположения пунктов плана или иное его содержание, определяющее обязанности сторон.</w:t>
      </w:r>
    </w:p>
    <w:bookmarkEnd w:id="433"/>
    <w:bookmarkStart w:name="z472" w:id="434"/>
    <w:p>
      <w:pPr>
        <w:spacing w:after="0"/>
        <w:ind w:left="0"/>
        <w:jc w:val="both"/>
      </w:pPr>
      <w:r>
        <w:rPr>
          <w:rFonts w:ascii="Times New Roman"/>
          <w:b w:val="false"/>
          <w:i w:val="false"/>
          <w:color w:val="000000"/>
          <w:sz w:val="28"/>
        </w:rPr>
        <w:t>
      Номер документа:</w:t>
      </w:r>
    </w:p>
    <w:bookmarkEnd w:id="434"/>
    <w:bookmarkStart w:name="z473" w:id="435"/>
    <w:p>
      <w:pPr>
        <w:spacing w:after="0"/>
        <w:ind w:left="0"/>
        <w:jc w:val="both"/>
      </w:pPr>
      <w:r>
        <w:rPr>
          <w:rFonts w:ascii="Times New Roman"/>
          <w:b w:val="false"/>
          <w:i w:val="false"/>
          <w:color w:val="000000"/>
          <w:sz w:val="28"/>
        </w:rPr>
        <w:t>
      Область (границы и (или) объект трансфера) (привести название лекарственного средства, стадии процесса, аналитической методики)</w:t>
      </w:r>
    </w:p>
    <w:bookmarkEnd w:id="435"/>
    <w:bookmarkStart w:name="z474" w:id="436"/>
    <w:p>
      <w:pPr>
        <w:spacing w:after="0"/>
        <w:ind w:left="0"/>
        <w:jc w:val="both"/>
      </w:pPr>
      <w:r>
        <w:rPr>
          <w:rFonts w:ascii="Times New Roman"/>
          <w:b w:val="false"/>
          <w:i w:val="false"/>
          <w:color w:val="000000"/>
          <w:sz w:val="28"/>
        </w:rPr>
        <w:t xml:space="preserve">
      1. Цели трансфера </w:t>
      </w:r>
    </w:p>
    <w:bookmarkEnd w:id="436"/>
    <w:bookmarkStart w:name="z475" w:id="437"/>
    <w:p>
      <w:pPr>
        <w:spacing w:after="0"/>
        <w:ind w:left="0"/>
        <w:jc w:val="both"/>
      </w:pPr>
      <w:r>
        <w:rPr>
          <w:rFonts w:ascii="Times New Roman"/>
          <w:b w:val="false"/>
          <w:i w:val="false"/>
          <w:color w:val="000000"/>
          <w:sz w:val="28"/>
        </w:rPr>
        <w:t>
      2. Ответственность сторон:</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ответственности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38"/>
          <w:p>
            <w:pPr>
              <w:spacing w:after="20"/>
              <w:ind w:left="20"/>
              <w:jc w:val="both"/>
            </w:pPr>
            <w:r>
              <w:rPr>
                <w:rFonts w:ascii="Times New Roman"/>
                <w:b w:val="false"/>
                <w:i w:val="false"/>
                <w:color w:val="000000"/>
                <w:sz w:val="20"/>
              </w:rPr>
              <w:t>
Ответственная сторона</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(передающая сторона или принимающая сторона)</w:t>
            </w:r>
          </w:p>
          <w:p>
            <w:pPr>
              <w:spacing w:after="20"/>
              <w:ind w:left="20"/>
              <w:jc w:val="both"/>
            </w:pPr>
            <w:r>
              <w:rPr>
                <w:rFonts w:ascii="Times New Roman"/>
                <w:b w:val="false"/>
                <w:i w:val="false"/>
                <w:color w:val="000000"/>
                <w:sz w:val="20"/>
              </w:rPr>
              <w:t xml:space="preserve">
(указать ФИО ответственного лица, </w:t>
            </w:r>
          </w:p>
          <w:p>
            <w:pPr>
              <w:spacing w:after="20"/>
              <w:ind w:left="20"/>
              <w:jc w:val="both"/>
            </w:pPr>
            <w:r>
              <w:rPr>
                <w:rFonts w:ascii="Times New Roman"/>
                <w:b w:val="false"/>
                <w:i w:val="false"/>
                <w:color w:val="000000"/>
                <w:sz w:val="20"/>
              </w:rPr>
              <w:t xml:space="preserve">если это известно на данном этапе)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439"/>
    <w:p>
      <w:pPr>
        <w:spacing w:after="0"/>
        <w:ind w:left="0"/>
        <w:jc w:val="both"/>
      </w:pPr>
      <w:r>
        <w:rPr>
          <w:rFonts w:ascii="Times New Roman"/>
          <w:b w:val="false"/>
          <w:i w:val="false"/>
          <w:color w:val="000000"/>
          <w:sz w:val="28"/>
        </w:rPr>
        <w:t>
      3. Объем трансфера, временные рамки</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трансфера аналитических методик</w:t>
            </w:r>
            <w:r>
              <w:rPr>
                <w:rFonts w:ascii="Times New Roman"/>
                <w:b w:val="false"/>
                <w:i w:val="false"/>
                <w:color w:val="000000"/>
                <w:vertAlign w:val="superscript"/>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завершения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группы (команды) проекта по трансферу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Консолидация знаний, анализ расхождений и анализ рисков для качества, контроль изменений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обучения персонала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способности персоналом выполнить аналитическую методику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протокола трансфера аналитических методик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образцов (стандартных образцов, реактивов, материалов,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внутренней документации (спецификаций, аналитических методик, другое)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протокола трансфера аналитических методик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протокола трансфера аналитических методик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исполнения протокола трансфера аналитических методик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отчета о трансфере аналитических методик, контроль изменений и проведение оценки эффективности трансфера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4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w:t>
      </w:r>
      <w:r>
        <w:rPr>
          <w:rFonts w:ascii="Times New Roman"/>
          <w:b w:val="false"/>
          <w:i w:val="false"/>
          <w:color w:val="000000"/>
          <w:sz w:val="28"/>
        </w:rPr>
        <w:t>Задачи трансфера аналитических методик в настоящем пункте плана приведены в качестве примера и могут быть сформулированы иначе, в зависимости от целей и назначения трансфера.</w:t>
      </w:r>
    </w:p>
    <w:bookmarkEnd w:id="440"/>
    <w:bookmarkStart w:name="z480" w:id="441"/>
    <w:p>
      <w:pPr>
        <w:spacing w:after="0"/>
        <w:ind w:left="0"/>
        <w:jc w:val="both"/>
      </w:pPr>
      <w:r>
        <w:rPr>
          <w:rFonts w:ascii="Times New Roman"/>
          <w:b w:val="false"/>
          <w:i w:val="false"/>
          <w:color w:val="000000"/>
          <w:sz w:val="28"/>
        </w:rPr>
        <w:t>
      4.Аналитические методики для (указать название объекта трансфера)</w:t>
      </w:r>
    </w:p>
    <w:bookmarkEnd w:id="441"/>
    <w:bookmarkStart w:name="z481" w:id="442"/>
    <w:p>
      <w:pPr>
        <w:spacing w:after="0"/>
        <w:ind w:left="0"/>
        <w:jc w:val="both"/>
      </w:pPr>
      <w:r>
        <w:rPr>
          <w:rFonts w:ascii="Times New Roman"/>
          <w:b w:val="false"/>
          <w:i w:val="false"/>
          <w:color w:val="000000"/>
          <w:sz w:val="28"/>
        </w:rPr>
        <w:t>
      В приведенной ниже таблице представлен пример ее заполнения.</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аналитической методики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документа (стандартной операционной процедуры, </w:t>
            </w:r>
          </w:p>
          <w:p>
            <w:pPr>
              <w:spacing w:after="20"/>
              <w:ind w:left="20"/>
              <w:jc w:val="both"/>
            </w:pPr>
            <w:r>
              <w:rPr>
                <w:rFonts w:ascii="Times New Roman"/>
                <w:b w:val="false"/>
                <w:i w:val="false"/>
                <w:color w:val="000000"/>
                <w:sz w:val="20"/>
              </w:rPr>
              <w:t>методики испытаний) передающей стороны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метода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документа (стандартной операционной процедуры, </w:t>
            </w:r>
          </w:p>
          <w:p>
            <w:pPr>
              <w:spacing w:after="20"/>
              <w:ind w:left="20"/>
              <w:jc w:val="both"/>
            </w:pPr>
            <w:r>
              <w:rPr>
                <w:rFonts w:ascii="Times New Roman"/>
                <w:b w:val="false"/>
                <w:i w:val="false"/>
                <w:color w:val="000000"/>
                <w:sz w:val="20"/>
              </w:rPr>
              <w:t>методики испытаний) принимающей стороны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43"/>
          <w:p>
            <w:pPr>
              <w:spacing w:after="20"/>
              <w:ind w:left="20"/>
              <w:jc w:val="both"/>
            </w:pPr>
            <w:r>
              <w:rPr>
                <w:rFonts w:ascii="Times New Roman"/>
                <w:b w:val="false"/>
                <w:i w:val="false"/>
                <w:color w:val="000000"/>
                <w:sz w:val="20"/>
              </w:rPr>
              <w:t>
СОП (МИ)</w:t>
            </w:r>
          </w:p>
          <w:bookmarkEnd w:id="443"/>
          <w:p>
            <w:pPr>
              <w:spacing w:after="20"/>
              <w:ind w:left="20"/>
              <w:jc w:val="both"/>
            </w:pP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СОП (МИ)</w:t>
            </w:r>
          </w:p>
          <w:p>
            <w:pPr>
              <w:spacing w:after="20"/>
              <w:ind w:left="20"/>
              <w:jc w:val="both"/>
            </w:pPr>
            <w:r>
              <w:rPr>
                <w:rFonts w:ascii="Times New Roman"/>
                <w:b w:val="false"/>
                <w:i w:val="false"/>
                <w:color w:val="000000"/>
                <w:sz w:val="20"/>
              </w:rPr>
              <w:t>ХХХ-ХХ от дд/мм/гггг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4"/>
          <w:p>
            <w:pPr>
              <w:spacing w:after="20"/>
              <w:ind w:left="20"/>
              <w:jc w:val="both"/>
            </w:pPr>
            <w:r>
              <w:rPr>
                <w:rFonts w:ascii="Times New Roman"/>
                <w:b w:val="false"/>
                <w:i w:val="false"/>
                <w:color w:val="000000"/>
                <w:sz w:val="20"/>
              </w:rPr>
              <w:t>
СОП (МИ)</w:t>
            </w:r>
          </w:p>
          <w:bookmarkEnd w:id="444"/>
          <w:p>
            <w:pPr>
              <w:spacing w:after="20"/>
              <w:ind w:left="20"/>
              <w:jc w:val="both"/>
            </w:pP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СОП (МИ)</w:t>
            </w:r>
          </w:p>
          <w:p>
            <w:pPr>
              <w:spacing w:after="20"/>
              <w:ind w:left="20"/>
              <w:jc w:val="both"/>
            </w:pPr>
            <w:r>
              <w:rPr>
                <w:rFonts w:ascii="Times New Roman"/>
                <w:b w:val="false"/>
                <w:i w:val="false"/>
                <w:color w:val="000000"/>
                <w:sz w:val="20"/>
              </w:rPr>
              <w:t>ХХХ-ХХ от дд/мм/гггг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5"/>
          <w:p>
            <w:pPr>
              <w:spacing w:after="20"/>
              <w:ind w:left="20"/>
              <w:jc w:val="both"/>
            </w:pPr>
            <w:r>
              <w:rPr>
                <w:rFonts w:ascii="Times New Roman"/>
                <w:b w:val="false"/>
                <w:i w:val="false"/>
                <w:color w:val="000000"/>
                <w:sz w:val="20"/>
              </w:rPr>
              <w:t>
СОП (МИ)</w:t>
            </w:r>
          </w:p>
          <w:bookmarkEnd w:id="445"/>
          <w:p>
            <w:pPr>
              <w:spacing w:after="20"/>
              <w:ind w:left="20"/>
              <w:jc w:val="both"/>
            </w:pP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СОП (МИ)</w:t>
            </w:r>
          </w:p>
          <w:p>
            <w:pPr>
              <w:spacing w:after="20"/>
              <w:ind w:left="20"/>
              <w:jc w:val="both"/>
            </w:pPr>
            <w:r>
              <w:rPr>
                <w:rFonts w:ascii="Times New Roman"/>
                <w:b w:val="false"/>
                <w:i w:val="false"/>
                <w:color w:val="000000"/>
                <w:sz w:val="20"/>
              </w:rPr>
              <w:t>ХХХ-ХХ от дд/мм/гггг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6"/>
          <w:p>
            <w:pPr>
              <w:spacing w:after="20"/>
              <w:ind w:left="20"/>
              <w:jc w:val="both"/>
            </w:pPr>
            <w:r>
              <w:rPr>
                <w:rFonts w:ascii="Times New Roman"/>
                <w:b w:val="false"/>
                <w:i w:val="false"/>
                <w:color w:val="000000"/>
                <w:sz w:val="20"/>
              </w:rPr>
              <w:t>
СОП (МИ)</w:t>
            </w:r>
          </w:p>
          <w:bookmarkEnd w:id="446"/>
          <w:p>
            <w:pPr>
              <w:spacing w:after="20"/>
              <w:ind w:left="20"/>
              <w:jc w:val="both"/>
            </w:pP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СОП (МИ)</w:t>
            </w:r>
          </w:p>
          <w:p>
            <w:pPr>
              <w:spacing w:after="20"/>
              <w:ind w:left="20"/>
              <w:jc w:val="both"/>
            </w:pPr>
            <w:r>
              <w:rPr>
                <w:rFonts w:ascii="Times New Roman"/>
                <w:b w:val="false"/>
                <w:i w:val="false"/>
                <w:color w:val="000000"/>
                <w:sz w:val="20"/>
              </w:rPr>
              <w:t>ХХХ-ХХ от дд/мм/гггг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Количественное определение (ВЭЖХ)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7"/>
          <w:p>
            <w:pPr>
              <w:spacing w:after="20"/>
              <w:ind w:left="20"/>
              <w:jc w:val="both"/>
            </w:pPr>
            <w:r>
              <w:rPr>
                <w:rFonts w:ascii="Times New Roman"/>
                <w:b w:val="false"/>
                <w:i w:val="false"/>
                <w:color w:val="000000"/>
                <w:sz w:val="20"/>
              </w:rPr>
              <w:t>
СОП (МИ)</w:t>
            </w:r>
          </w:p>
          <w:bookmarkEnd w:id="447"/>
          <w:p>
            <w:pPr>
              <w:spacing w:after="20"/>
              <w:ind w:left="20"/>
              <w:jc w:val="both"/>
            </w:pP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СОП (МИ)</w:t>
            </w:r>
          </w:p>
          <w:p>
            <w:pPr>
              <w:spacing w:after="20"/>
              <w:ind w:left="20"/>
              <w:jc w:val="both"/>
            </w:pPr>
            <w:r>
              <w:rPr>
                <w:rFonts w:ascii="Times New Roman"/>
                <w:b w:val="false"/>
                <w:i w:val="false"/>
                <w:color w:val="000000"/>
                <w:sz w:val="20"/>
              </w:rPr>
              <w:t>ХХХ-ХХ от дд/мм/гггг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специфический </w:t>
            </w:r>
          </w:p>
          <w:p>
            <w:pPr>
              <w:spacing w:after="20"/>
              <w:ind w:left="20"/>
              <w:jc w:val="both"/>
            </w:pPr>
            <w:r>
              <w:rPr>
                <w:rFonts w:ascii="Times New Roman"/>
                <w:b w:val="false"/>
                <w:i w:val="false"/>
                <w:color w:val="000000"/>
                <w:sz w:val="20"/>
              </w:rPr>
              <w:t>для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8"/>
          <w:p>
            <w:pPr>
              <w:spacing w:after="20"/>
              <w:ind w:left="20"/>
              <w:jc w:val="both"/>
            </w:pPr>
            <w:r>
              <w:rPr>
                <w:rFonts w:ascii="Times New Roman"/>
                <w:b w:val="false"/>
                <w:i w:val="false"/>
                <w:color w:val="000000"/>
                <w:sz w:val="20"/>
              </w:rPr>
              <w:t>
СОП (МИ)</w:t>
            </w:r>
          </w:p>
          <w:bookmarkEnd w:id="448"/>
          <w:p>
            <w:pPr>
              <w:spacing w:after="20"/>
              <w:ind w:left="20"/>
              <w:jc w:val="both"/>
            </w:pP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СОП (МИ)</w:t>
            </w:r>
          </w:p>
          <w:p>
            <w:pPr>
              <w:spacing w:after="20"/>
              <w:ind w:left="20"/>
              <w:jc w:val="both"/>
            </w:pPr>
            <w:r>
              <w:rPr>
                <w:rFonts w:ascii="Times New Roman"/>
                <w:b w:val="false"/>
                <w:i w:val="false"/>
                <w:color w:val="000000"/>
                <w:sz w:val="20"/>
              </w:rPr>
              <w:t>ХХХ-ХХ от дд/мм/гггг</w:t>
            </w:r>
          </w:p>
        </w:tc>
      </w:tr>
    </w:tbl>
    <w:bookmarkStart w:name="z488" w:id="449"/>
    <w:p>
      <w:pPr>
        <w:spacing w:after="0"/>
        <w:ind w:left="0"/>
        <w:jc w:val="both"/>
      </w:pPr>
      <w:r>
        <w:rPr>
          <w:rFonts w:ascii="Times New Roman"/>
          <w:b w:val="false"/>
          <w:i w:val="false"/>
          <w:color w:val="000000"/>
          <w:sz w:val="28"/>
        </w:rPr>
        <w:t xml:space="preserve">
      5. Спецификации на сырье и материалы, лекарственное средство </w:t>
      </w:r>
    </w:p>
    <w:bookmarkEnd w:id="449"/>
    <w:bookmarkStart w:name="z489" w:id="450"/>
    <w:p>
      <w:pPr>
        <w:spacing w:after="0"/>
        <w:ind w:left="0"/>
        <w:jc w:val="both"/>
      </w:pPr>
      <w:r>
        <w:rPr>
          <w:rFonts w:ascii="Times New Roman"/>
          <w:b w:val="false"/>
          <w:i w:val="false"/>
          <w:color w:val="000000"/>
          <w:sz w:val="28"/>
        </w:rPr>
        <w:t xml:space="preserve">
      6. Критерии приемлемости и успешности трансфера </w:t>
      </w:r>
    </w:p>
    <w:bookmarkEnd w:id="450"/>
    <w:bookmarkStart w:name="z490" w:id="451"/>
    <w:p>
      <w:pPr>
        <w:spacing w:after="0"/>
        <w:ind w:left="0"/>
        <w:jc w:val="both"/>
      </w:pPr>
      <w:r>
        <w:rPr>
          <w:rFonts w:ascii="Times New Roman"/>
          <w:b w:val="false"/>
          <w:i w:val="false"/>
          <w:color w:val="000000"/>
          <w:sz w:val="28"/>
        </w:rPr>
        <w:t>
      7. Порядок проведения тренингов (обучения) персонала, оценка результатов</w:t>
      </w:r>
    </w:p>
    <w:bookmarkEnd w:id="451"/>
    <w:bookmarkStart w:name="z491" w:id="452"/>
    <w:p>
      <w:pPr>
        <w:spacing w:after="0"/>
        <w:ind w:left="0"/>
        <w:jc w:val="both"/>
      </w:pPr>
      <w:r>
        <w:rPr>
          <w:rFonts w:ascii="Times New Roman"/>
          <w:b w:val="false"/>
          <w:i w:val="false"/>
          <w:color w:val="000000"/>
          <w:sz w:val="28"/>
        </w:rPr>
        <w:t xml:space="preserve">
      8. Перечень документации представляемой передающей стороной </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Руководству по трансферу технологий и (или)</w:t>
            </w:r>
            <w:r>
              <w:br/>
            </w:r>
            <w:r>
              <w:rPr>
                <w:rFonts w:ascii="Times New Roman"/>
                <w:b w:val="false"/>
                <w:i w:val="false"/>
                <w:color w:val="000000"/>
                <w:sz w:val="20"/>
              </w:rPr>
              <w:t>аналитических методик при</w:t>
            </w:r>
            <w:r>
              <w:br/>
            </w:r>
            <w:r>
              <w:rPr>
                <w:rFonts w:ascii="Times New Roman"/>
                <w:b w:val="false"/>
                <w:i w:val="false"/>
                <w:color w:val="000000"/>
                <w:sz w:val="20"/>
              </w:rPr>
              <w:t>производстве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95" w:id="453"/>
    <w:p>
      <w:pPr>
        <w:spacing w:after="0"/>
        <w:ind w:left="0"/>
        <w:jc w:val="left"/>
      </w:pPr>
      <w:r>
        <w:rPr>
          <w:rFonts w:ascii="Times New Roman"/>
          <w:b/>
          <w:i w:val="false"/>
          <w:color w:val="000000"/>
        </w:rPr>
        <w:t xml:space="preserve"> ПРОТОКОЛ</w:t>
      </w:r>
      <w:r>
        <w:br/>
      </w:r>
      <w:r>
        <w:rPr>
          <w:rFonts w:ascii="Times New Roman"/>
          <w:b/>
          <w:i w:val="false"/>
          <w:color w:val="000000"/>
        </w:rPr>
        <w:t>трансфера технологии</w:t>
      </w:r>
    </w:p>
    <w:bookmarkEnd w:id="453"/>
    <w:bookmarkStart w:name="z496" w:id="454"/>
    <w:p>
      <w:pPr>
        <w:spacing w:after="0"/>
        <w:ind w:left="0"/>
        <w:jc w:val="both"/>
      </w:pPr>
      <w:r>
        <w:rPr>
          <w:rFonts w:ascii="Times New Roman"/>
          <w:b w:val="false"/>
          <w:i w:val="false"/>
          <w:color w:val="000000"/>
          <w:sz w:val="28"/>
        </w:rPr>
        <w:t>
      Номер документа</w:t>
      </w:r>
    </w:p>
    <w:bookmarkEnd w:id="454"/>
    <w:bookmarkStart w:name="z497" w:id="455"/>
    <w:p>
      <w:pPr>
        <w:spacing w:after="0"/>
        <w:ind w:left="0"/>
        <w:jc w:val="both"/>
      </w:pPr>
      <w:r>
        <w:rPr>
          <w:rFonts w:ascii="Times New Roman"/>
          <w:b w:val="false"/>
          <w:i w:val="false"/>
          <w:color w:val="000000"/>
          <w:sz w:val="28"/>
        </w:rPr>
        <w:t xml:space="preserve">
      1. Общая информация </w:t>
      </w:r>
    </w:p>
    <w:bookmarkEnd w:id="455"/>
    <w:bookmarkStart w:name="z498" w:id="456"/>
    <w:p>
      <w:pPr>
        <w:spacing w:after="0"/>
        <w:ind w:left="0"/>
        <w:jc w:val="both"/>
      </w:pPr>
      <w:r>
        <w:rPr>
          <w:rFonts w:ascii="Times New Roman"/>
          <w:b w:val="false"/>
          <w:i w:val="false"/>
          <w:color w:val="000000"/>
          <w:sz w:val="28"/>
        </w:rPr>
        <w:t>
      1.1 Область (границы и (или) объект трансфера) (привести название лекарственного средства или стадии процесса)</w:t>
      </w:r>
    </w:p>
    <w:bookmarkEnd w:id="456"/>
    <w:bookmarkStart w:name="z499" w:id="457"/>
    <w:p>
      <w:pPr>
        <w:spacing w:after="0"/>
        <w:ind w:left="0"/>
        <w:jc w:val="both"/>
      </w:pPr>
      <w:r>
        <w:rPr>
          <w:rFonts w:ascii="Times New Roman"/>
          <w:b w:val="false"/>
          <w:i w:val="false"/>
          <w:color w:val="000000"/>
          <w:sz w:val="28"/>
        </w:rPr>
        <w:t>
      1.2 Назначение протокола, цели и задачи трансфера</w:t>
      </w:r>
    </w:p>
    <w:bookmarkEnd w:id="457"/>
    <w:bookmarkStart w:name="z500" w:id="458"/>
    <w:p>
      <w:pPr>
        <w:spacing w:after="0"/>
        <w:ind w:left="0"/>
        <w:jc w:val="both"/>
      </w:pPr>
      <w:r>
        <w:rPr>
          <w:rFonts w:ascii="Times New Roman"/>
          <w:b w:val="false"/>
          <w:i w:val="false"/>
          <w:color w:val="000000"/>
          <w:sz w:val="28"/>
        </w:rPr>
        <w:t>
      1.3 Область действия</w:t>
      </w:r>
    </w:p>
    <w:bookmarkEnd w:id="458"/>
    <w:bookmarkStart w:name="z501" w:id="459"/>
    <w:p>
      <w:pPr>
        <w:spacing w:after="0"/>
        <w:ind w:left="0"/>
        <w:jc w:val="both"/>
      </w:pPr>
      <w:r>
        <w:rPr>
          <w:rFonts w:ascii="Times New Roman"/>
          <w:b w:val="false"/>
          <w:i w:val="false"/>
          <w:color w:val="000000"/>
          <w:sz w:val="28"/>
        </w:rPr>
        <w:t xml:space="preserve">
      2. Работа группы (команды) по трансферу </w:t>
      </w:r>
    </w:p>
    <w:bookmarkEnd w:id="459"/>
    <w:bookmarkStart w:name="z502" w:id="460"/>
    <w:p>
      <w:pPr>
        <w:spacing w:after="0"/>
        <w:ind w:left="0"/>
        <w:jc w:val="both"/>
      </w:pPr>
      <w:r>
        <w:rPr>
          <w:rFonts w:ascii="Times New Roman"/>
          <w:b w:val="false"/>
          <w:i w:val="false"/>
          <w:color w:val="000000"/>
          <w:sz w:val="28"/>
        </w:rPr>
        <w:t>
      2.1 Распределение ответственности</w:t>
      </w:r>
    </w:p>
    <w:bookmarkEnd w:id="460"/>
    <w:bookmarkStart w:name="z503" w:id="461"/>
    <w:p>
      <w:pPr>
        <w:spacing w:after="0"/>
        <w:ind w:left="0"/>
        <w:jc w:val="both"/>
      </w:pPr>
      <w:r>
        <w:rPr>
          <w:rFonts w:ascii="Times New Roman"/>
          <w:b w:val="false"/>
          <w:i w:val="false"/>
          <w:color w:val="000000"/>
          <w:sz w:val="28"/>
        </w:rPr>
        <w:t>
      В данном разделе сведения могут быть представлены в виде таблицы или в форме матрицы ответственности.</w:t>
      </w:r>
    </w:p>
    <w:bookmarkEnd w:id="461"/>
    <w:bookmarkStart w:name="z504" w:id="462"/>
    <w:p>
      <w:pPr>
        <w:spacing w:after="0"/>
        <w:ind w:left="0"/>
        <w:jc w:val="both"/>
      </w:pPr>
      <w:r>
        <w:rPr>
          <w:rFonts w:ascii="Times New Roman"/>
          <w:b w:val="false"/>
          <w:i w:val="false"/>
          <w:color w:val="000000"/>
          <w:sz w:val="28"/>
        </w:rPr>
        <w:t>
      Вариант 1. Представление разделений зон ответственности в форме таблицы.</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группе (команде)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обязанности, ответственность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 w:id="463"/>
    <w:p>
      <w:pPr>
        <w:spacing w:after="0"/>
        <w:ind w:left="0"/>
        <w:jc w:val="both"/>
      </w:pPr>
      <w:r>
        <w:rPr>
          <w:rFonts w:ascii="Times New Roman"/>
          <w:b w:val="false"/>
          <w:i w:val="false"/>
          <w:color w:val="000000"/>
          <w:sz w:val="28"/>
        </w:rPr>
        <w:t>
      Вариант 2. Представление разделений зон ответственности в форме матрицы ответственности.</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 (зоны ответственности)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Передающая сторона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сторона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Администраторы </w:t>
            </w:r>
          </w:p>
          <w:p>
            <w:pPr>
              <w:spacing w:after="20"/>
              <w:ind w:left="20"/>
              <w:jc w:val="both"/>
            </w:pPr>
            <w:r>
              <w:rPr>
                <w:rFonts w:ascii="Times New Roman"/>
                <w:b w:val="false"/>
                <w:i w:val="false"/>
                <w:color w:val="000000"/>
                <w:sz w:val="20"/>
              </w:rPr>
              <w:t>и контролеры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 w:id="464"/>
    <w:p>
      <w:pPr>
        <w:spacing w:after="0"/>
        <w:ind w:left="0"/>
        <w:jc w:val="both"/>
      </w:pPr>
      <w:r>
        <w:rPr>
          <w:rFonts w:ascii="Times New Roman"/>
          <w:b w:val="false"/>
          <w:i w:val="false"/>
          <w:color w:val="000000"/>
          <w:sz w:val="28"/>
        </w:rPr>
        <w:t>
      Ячейки матрицы заполняются условными сокращениями: О – ответственный (владелец процесса); У – утверждает трансфер процесса; С – согласовывает трансфер процесса; И – информируется о проведении трансфера процесса.</w:t>
      </w:r>
    </w:p>
    <w:bookmarkEnd w:id="464"/>
    <w:bookmarkStart w:name="z507" w:id="465"/>
    <w:p>
      <w:pPr>
        <w:spacing w:after="0"/>
        <w:ind w:left="0"/>
        <w:jc w:val="both"/>
      </w:pPr>
      <w:r>
        <w:rPr>
          <w:rFonts w:ascii="Times New Roman"/>
          <w:b w:val="false"/>
          <w:i w:val="false"/>
          <w:color w:val="000000"/>
          <w:sz w:val="28"/>
        </w:rPr>
        <w:t>
      2.2 Взаимодействие группы (команды) проекта по трансферу.</w:t>
      </w:r>
    </w:p>
    <w:bookmarkEnd w:id="465"/>
    <w:bookmarkStart w:name="z508" w:id="466"/>
    <w:p>
      <w:pPr>
        <w:spacing w:after="0"/>
        <w:ind w:left="0"/>
        <w:jc w:val="both"/>
      </w:pPr>
      <w:r>
        <w:rPr>
          <w:rFonts w:ascii="Times New Roman"/>
          <w:b w:val="false"/>
          <w:i w:val="false"/>
          <w:color w:val="000000"/>
          <w:sz w:val="28"/>
        </w:rPr>
        <w:t>
      В данном разделе передающей стороной указываются способы осуществления коммуникации между передающей и принимающей сторонами (например, электронная, аудио-, видеосвязь), периодичность и порядок обсуждения каждого этапа трансфера.</w:t>
      </w:r>
    </w:p>
    <w:bookmarkEnd w:id="466"/>
    <w:bookmarkStart w:name="z509" w:id="467"/>
    <w:p>
      <w:pPr>
        <w:spacing w:after="0"/>
        <w:ind w:left="0"/>
        <w:jc w:val="both"/>
      </w:pPr>
      <w:r>
        <w:rPr>
          <w:rFonts w:ascii="Times New Roman"/>
          <w:b w:val="false"/>
          <w:i w:val="false"/>
          <w:color w:val="000000"/>
          <w:sz w:val="28"/>
        </w:rPr>
        <w:t xml:space="preserve">
      3. Сроки передачи технологии </w:t>
      </w:r>
    </w:p>
    <w:bookmarkEnd w:id="467"/>
    <w:bookmarkStart w:name="z510" w:id="468"/>
    <w:p>
      <w:pPr>
        <w:spacing w:after="0"/>
        <w:ind w:left="0"/>
        <w:jc w:val="both"/>
      </w:pPr>
      <w:r>
        <w:rPr>
          <w:rFonts w:ascii="Times New Roman"/>
          <w:b w:val="false"/>
          <w:i w:val="false"/>
          <w:color w:val="000000"/>
          <w:sz w:val="28"/>
        </w:rPr>
        <w:t>
      4. Стратегия трансфера</w:t>
      </w:r>
    </w:p>
    <w:bookmarkEnd w:id="468"/>
    <w:bookmarkStart w:name="z511" w:id="469"/>
    <w:p>
      <w:pPr>
        <w:spacing w:after="0"/>
        <w:ind w:left="0"/>
        <w:jc w:val="both"/>
      </w:pPr>
      <w:r>
        <w:rPr>
          <w:rFonts w:ascii="Times New Roman"/>
          <w:b w:val="false"/>
          <w:i w:val="false"/>
          <w:color w:val="000000"/>
          <w:sz w:val="28"/>
        </w:rPr>
        <w:t>
      4.1 Состав лекарственного средства</w:t>
      </w:r>
    </w:p>
    <w:bookmarkEnd w:id="469"/>
    <w:bookmarkStart w:name="z512" w:id="470"/>
    <w:p>
      <w:pPr>
        <w:spacing w:after="0"/>
        <w:ind w:left="0"/>
        <w:jc w:val="both"/>
      </w:pPr>
      <w:r>
        <w:rPr>
          <w:rFonts w:ascii="Times New Roman"/>
          <w:b w:val="false"/>
          <w:i w:val="false"/>
          <w:color w:val="000000"/>
          <w:sz w:val="28"/>
        </w:rPr>
        <w:t>
      4.2 Технологические схемы, аппаратурные схемы</w:t>
      </w:r>
    </w:p>
    <w:bookmarkEnd w:id="470"/>
    <w:bookmarkStart w:name="z513" w:id="471"/>
    <w:p>
      <w:pPr>
        <w:spacing w:after="0"/>
        <w:ind w:left="0"/>
        <w:jc w:val="both"/>
      </w:pPr>
      <w:r>
        <w:rPr>
          <w:rFonts w:ascii="Times New Roman"/>
          <w:b w:val="false"/>
          <w:i w:val="false"/>
          <w:color w:val="000000"/>
          <w:sz w:val="28"/>
        </w:rPr>
        <w:t>
      4.3 Перечень технологического оборудования, средств измерений</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по эксплуатационному документу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4" w:id="472"/>
    <w:p>
      <w:pPr>
        <w:spacing w:after="0"/>
        <w:ind w:left="0"/>
        <w:jc w:val="both"/>
      </w:pPr>
      <w:r>
        <w:rPr>
          <w:rFonts w:ascii="Times New Roman"/>
          <w:b w:val="false"/>
          <w:i w:val="false"/>
          <w:color w:val="000000"/>
          <w:sz w:val="28"/>
        </w:rPr>
        <w:t>
      4.4 Описание технологического процесса, включая специфические требования к процессу.</w:t>
      </w:r>
    </w:p>
    <w:bookmarkEnd w:id="472"/>
    <w:bookmarkStart w:name="z515" w:id="473"/>
    <w:p>
      <w:pPr>
        <w:spacing w:after="0"/>
        <w:ind w:left="0"/>
        <w:jc w:val="both"/>
      </w:pPr>
      <w:r>
        <w:rPr>
          <w:rFonts w:ascii="Times New Roman"/>
          <w:b w:val="false"/>
          <w:i w:val="false"/>
          <w:color w:val="000000"/>
          <w:sz w:val="28"/>
        </w:rPr>
        <w:t>
      4.5 Требования к упаковке, описание процесса упаковки</w:t>
      </w:r>
    </w:p>
    <w:bookmarkEnd w:id="473"/>
    <w:bookmarkStart w:name="z516" w:id="474"/>
    <w:p>
      <w:pPr>
        <w:spacing w:after="0"/>
        <w:ind w:left="0"/>
        <w:jc w:val="both"/>
      </w:pPr>
      <w:r>
        <w:rPr>
          <w:rFonts w:ascii="Times New Roman"/>
          <w:b w:val="false"/>
          <w:i w:val="false"/>
          <w:color w:val="000000"/>
          <w:sz w:val="28"/>
        </w:rPr>
        <w:t>
      4.6 Рекомендации по очистке оборудования</w:t>
      </w:r>
    </w:p>
    <w:bookmarkEnd w:id="474"/>
    <w:bookmarkStart w:name="z517" w:id="475"/>
    <w:p>
      <w:pPr>
        <w:spacing w:after="0"/>
        <w:ind w:left="0"/>
        <w:jc w:val="both"/>
      </w:pPr>
      <w:r>
        <w:rPr>
          <w:rFonts w:ascii="Times New Roman"/>
          <w:b w:val="false"/>
          <w:i w:val="false"/>
          <w:color w:val="000000"/>
          <w:sz w:val="28"/>
        </w:rPr>
        <w:t>
      5. Стратегия контроля</w:t>
      </w:r>
    </w:p>
    <w:bookmarkEnd w:id="475"/>
    <w:bookmarkStart w:name="z518" w:id="476"/>
    <w:p>
      <w:pPr>
        <w:spacing w:after="0"/>
        <w:ind w:left="0"/>
        <w:jc w:val="both"/>
      </w:pPr>
      <w:r>
        <w:rPr>
          <w:rFonts w:ascii="Times New Roman"/>
          <w:b w:val="false"/>
          <w:i w:val="false"/>
          <w:color w:val="000000"/>
          <w:sz w:val="28"/>
        </w:rPr>
        <w:t>
      В разделе приводятся детали в отношении контроля исходного сырья и материалов, промежуточной и готовой продукции (спецификации), данные по внутрипроизводственному, межоперационному контролю, а также принятая политика изучения стабильности. Информацию по трансферу аналитических методик рекомендуется оформлять отдельным комплектом документов, включая экспериментальный план трансфера и критерии приемлемости для аналитических методик и др.</w:t>
      </w:r>
    </w:p>
    <w:bookmarkEnd w:id="476"/>
    <w:bookmarkStart w:name="z519" w:id="477"/>
    <w:p>
      <w:pPr>
        <w:spacing w:after="0"/>
        <w:ind w:left="0"/>
        <w:jc w:val="both"/>
      </w:pPr>
      <w:r>
        <w:rPr>
          <w:rFonts w:ascii="Times New Roman"/>
          <w:b w:val="false"/>
          <w:i w:val="false"/>
          <w:color w:val="000000"/>
          <w:sz w:val="28"/>
        </w:rPr>
        <w:t>
      6. Масштабирование процесса (при необходимости)</w:t>
      </w:r>
    </w:p>
    <w:bookmarkEnd w:id="477"/>
    <w:bookmarkStart w:name="z520" w:id="478"/>
    <w:p>
      <w:pPr>
        <w:spacing w:after="0"/>
        <w:ind w:left="0"/>
        <w:jc w:val="both"/>
      </w:pPr>
      <w:r>
        <w:rPr>
          <w:rFonts w:ascii="Times New Roman"/>
          <w:b w:val="false"/>
          <w:i w:val="false"/>
          <w:color w:val="000000"/>
          <w:sz w:val="28"/>
        </w:rPr>
        <w:t>
      7. Объем квалификационных и валидационных работ</w:t>
      </w:r>
    </w:p>
    <w:bookmarkEnd w:id="478"/>
    <w:bookmarkStart w:name="z521" w:id="479"/>
    <w:p>
      <w:pPr>
        <w:spacing w:after="0"/>
        <w:ind w:left="0"/>
        <w:jc w:val="both"/>
      </w:pPr>
      <w:r>
        <w:rPr>
          <w:rFonts w:ascii="Times New Roman"/>
          <w:b w:val="false"/>
          <w:i w:val="false"/>
          <w:color w:val="000000"/>
          <w:sz w:val="28"/>
        </w:rPr>
        <w:t xml:space="preserve">
      8. Порядок работы с выявленными расхождениями </w:t>
      </w:r>
    </w:p>
    <w:bookmarkEnd w:id="479"/>
    <w:bookmarkStart w:name="z522" w:id="480"/>
    <w:p>
      <w:pPr>
        <w:spacing w:after="0"/>
        <w:ind w:left="0"/>
        <w:jc w:val="both"/>
      </w:pPr>
      <w:r>
        <w:rPr>
          <w:rFonts w:ascii="Times New Roman"/>
          <w:b w:val="false"/>
          <w:i w:val="false"/>
          <w:color w:val="000000"/>
          <w:sz w:val="28"/>
        </w:rPr>
        <w:t>
      В данном разделе приводится описание примененных процедур согласования действий в случае выявления расхождений (например, несоответствие результатов 3 валидационных серий критериям приемлемости), которые потребовали проведения дополнительных работ по передаче технологии и процедур пересмотра указанных выше временных графиков.</w:t>
      </w:r>
    </w:p>
    <w:bookmarkEnd w:id="480"/>
    <w:bookmarkStart w:name="z523" w:id="481"/>
    <w:p>
      <w:pPr>
        <w:spacing w:after="0"/>
        <w:ind w:left="0"/>
        <w:jc w:val="both"/>
      </w:pPr>
      <w:r>
        <w:rPr>
          <w:rFonts w:ascii="Times New Roman"/>
          <w:b w:val="false"/>
          <w:i w:val="false"/>
          <w:color w:val="000000"/>
          <w:sz w:val="28"/>
        </w:rPr>
        <w:t>
      9. Изменения в трансфере технологии</w:t>
      </w:r>
    </w:p>
    <w:bookmarkEnd w:id="481"/>
    <w:bookmarkStart w:name="z524" w:id="482"/>
    <w:p>
      <w:pPr>
        <w:spacing w:after="0"/>
        <w:ind w:left="0"/>
        <w:jc w:val="both"/>
      </w:pPr>
      <w:r>
        <w:rPr>
          <w:rFonts w:ascii="Times New Roman"/>
          <w:b w:val="false"/>
          <w:i w:val="false"/>
          <w:color w:val="000000"/>
          <w:sz w:val="28"/>
        </w:rPr>
        <w:t>
      10. Критерии успешного завершения трансфера технологии</w:t>
      </w:r>
    </w:p>
    <w:bookmarkEnd w:id="482"/>
    <w:bookmarkStart w:name="z525" w:id="483"/>
    <w:p>
      <w:pPr>
        <w:spacing w:after="0"/>
        <w:ind w:left="0"/>
        <w:jc w:val="both"/>
      </w:pPr>
      <w:r>
        <w:rPr>
          <w:rFonts w:ascii="Times New Roman"/>
          <w:b w:val="false"/>
          <w:i w:val="false"/>
          <w:color w:val="000000"/>
          <w:sz w:val="28"/>
        </w:rPr>
        <w:t xml:space="preserve">
      11. Порядок действия при выявлении несоответствия качества продукции после завершения трансфера </w:t>
      </w:r>
    </w:p>
    <w:bookmarkEnd w:id="483"/>
    <w:bookmarkStart w:name="z526" w:id="484"/>
    <w:p>
      <w:pPr>
        <w:spacing w:after="0"/>
        <w:ind w:left="0"/>
        <w:jc w:val="both"/>
      </w:pPr>
      <w:r>
        <w:rPr>
          <w:rFonts w:ascii="Times New Roman"/>
          <w:b w:val="false"/>
          <w:i w:val="false"/>
          <w:color w:val="000000"/>
          <w:sz w:val="28"/>
        </w:rPr>
        <w:t xml:space="preserve">
      12. Стратегия регистрации лекарственного препарата </w:t>
      </w:r>
    </w:p>
    <w:bookmarkEnd w:id="484"/>
    <w:bookmarkStart w:name="z527" w:id="485"/>
    <w:p>
      <w:pPr>
        <w:spacing w:after="0"/>
        <w:ind w:left="0"/>
        <w:jc w:val="both"/>
      </w:pPr>
      <w:r>
        <w:rPr>
          <w:rFonts w:ascii="Times New Roman"/>
          <w:b w:val="false"/>
          <w:i w:val="false"/>
          <w:color w:val="000000"/>
          <w:sz w:val="28"/>
        </w:rPr>
        <w:t xml:space="preserve">
      13. Перечень приложений </w:t>
      </w:r>
    </w:p>
    <w:bookmarkEnd w:id="485"/>
    <w:bookmarkStart w:name="z528" w:id="486"/>
    <w:p>
      <w:pPr>
        <w:spacing w:after="0"/>
        <w:ind w:left="0"/>
        <w:jc w:val="both"/>
      </w:pPr>
      <w:r>
        <w:rPr>
          <w:rFonts w:ascii="Times New Roman"/>
          <w:b w:val="false"/>
          <w:i w:val="false"/>
          <w:color w:val="000000"/>
          <w:sz w:val="28"/>
        </w:rPr>
        <w:t>
      К протоколу прикладывается документация по проекту, представленная передающей стороной, протокол анализа рисков для качества, другие документы, необходимые для удостоверения правильности и прослеживаемости процедуры трансфера.</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 w:id="487"/>
    <w:p>
      <w:pPr>
        <w:spacing w:after="0"/>
        <w:ind w:left="0"/>
        <w:jc w:val="both"/>
      </w:pPr>
      <w:r>
        <w:rPr>
          <w:rFonts w:ascii="Times New Roman"/>
          <w:b w:val="false"/>
          <w:i w:val="false"/>
          <w:color w:val="000000"/>
          <w:sz w:val="28"/>
        </w:rPr>
        <w:t xml:space="preserve">
      Примечание: </w:t>
      </w:r>
    </w:p>
    <w:bookmarkEnd w:id="487"/>
    <w:bookmarkStart w:name="z530" w:id="488"/>
    <w:p>
      <w:pPr>
        <w:spacing w:after="0"/>
        <w:ind w:left="0"/>
        <w:jc w:val="both"/>
      </w:pPr>
      <w:r>
        <w:rPr>
          <w:rFonts w:ascii="Times New Roman"/>
          <w:b w:val="false"/>
          <w:i w:val="false"/>
          <w:color w:val="000000"/>
          <w:sz w:val="28"/>
        </w:rPr>
        <w:t>
      1. Разделы протокола могут изменяться в зависимости от условий договора между передающей и принимающей сторонами.</w:t>
      </w:r>
    </w:p>
    <w:bookmarkEnd w:id="488"/>
    <w:bookmarkStart w:name="z531" w:id="489"/>
    <w:p>
      <w:pPr>
        <w:spacing w:after="0"/>
        <w:ind w:left="0"/>
        <w:jc w:val="both"/>
      </w:pPr>
      <w:r>
        <w:rPr>
          <w:rFonts w:ascii="Times New Roman"/>
          <w:b w:val="false"/>
          <w:i w:val="false"/>
          <w:color w:val="000000"/>
          <w:sz w:val="28"/>
        </w:rPr>
        <w:t>
      2. Объемные документы (например, технологические схемы, методики анализа, спецификации, отчеты изучения стабильности и т.п.) могут быть приведены в качестве приложений к протоколу. В соответствующем пункте протокола необходимо сделать ссылку на приложения. Если данная технологическая документация была передана принимающей стороне до разработки протокола, допускается указывать ссылку на ресурс, где расположен документ.</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Руководству по трансферу</w:t>
            </w:r>
            <w:r>
              <w:br/>
            </w:r>
            <w:r>
              <w:rPr>
                <w:rFonts w:ascii="Times New Roman"/>
                <w:b w:val="false"/>
                <w:i w:val="false"/>
                <w:color w:val="000000"/>
                <w:sz w:val="20"/>
              </w:rPr>
              <w:t>технологий и (или)</w:t>
            </w:r>
            <w:r>
              <w:br/>
            </w:r>
            <w:r>
              <w:rPr>
                <w:rFonts w:ascii="Times New Roman"/>
                <w:b w:val="false"/>
                <w:i w:val="false"/>
                <w:color w:val="000000"/>
                <w:sz w:val="20"/>
              </w:rPr>
              <w:t>аналитических методик при</w:t>
            </w:r>
            <w:r>
              <w:br/>
            </w:r>
            <w:r>
              <w:rPr>
                <w:rFonts w:ascii="Times New Roman"/>
                <w:b w:val="false"/>
                <w:i w:val="false"/>
                <w:color w:val="000000"/>
                <w:sz w:val="20"/>
              </w:rPr>
              <w:t>производстве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4" w:id="490"/>
    <w:p>
      <w:pPr>
        <w:spacing w:after="0"/>
        <w:ind w:left="0"/>
        <w:jc w:val="left"/>
      </w:pPr>
      <w:r>
        <w:rPr>
          <w:rFonts w:ascii="Times New Roman"/>
          <w:b/>
          <w:i w:val="false"/>
          <w:color w:val="000000"/>
        </w:rPr>
        <w:t xml:space="preserve"> ОТЧЕТ</w:t>
      </w:r>
      <w:r>
        <w:br/>
      </w:r>
      <w:r>
        <w:rPr>
          <w:rFonts w:ascii="Times New Roman"/>
          <w:b/>
          <w:i w:val="false"/>
          <w:color w:val="000000"/>
        </w:rPr>
        <w:t>о трансфере технологии</w:t>
      </w:r>
    </w:p>
    <w:bookmarkEnd w:id="490"/>
    <w:bookmarkStart w:name="z535" w:id="491"/>
    <w:p>
      <w:pPr>
        <w:spacing w:after="0"/>
        <w:ind w:left="0"/>
        <w:jc w:val="both"/>
      </w:pPr>
      <w:r>
        <w:rPr>
          <w:rFonts w:ascii="Times New Roman"/>
          <w:b w:val="false"/>
          <w:i w:val="false"/>
          <w:color w:val="000000"/>
          <w:sz w:val="28"/>
        </w:rPr>
        <w:t>
      Номер документа</w:t>
      </w:r>
    </w:p>
    <w:bookmarkEnd w:id="491"/>
    <w:bookmarkStart w:name="z536" w:id="492"/>
    <w:p>
      <w:pPr>
        <w:spacing w:after="0"/>
        <w:ind w:left="0"/>
        <w:jc w:val="both"/>
      </w:pPr>
      <w:r>
        <w:rPr>
          <w:rFonts w:ascii="Times New Roman"/>
          <w:b w:val="false"/>
          <w:i w:val="false"/>
          <w:color w:val="000000"/>
          <w:sz w:val="28"/>
        </w:rPr>
        <w:t>
      1. Область (границы и (или) объект трансфера технологии) (привести название лекарственного средства или стадии процесса).</w:t>
      </w:r>
    </w:p>
    <w:bookmarkEnd w:id="492"/>
    <w:bookmarkStart w:name="z537" w:id="493"/>
    <w:p>
      <w:pPr>
        <w:spacing w:after="0"/>
        <w:ind w:left="0"/>
        <w:jc w:val="both"/>
      </w:pPr>
      <w:r>
        <w:rPr>
          <w:rFonts w:ascii="Times New Roman"/>
          <w:b w:val="false"/>
          <w:i w:val="false"/>
          <w:color w:val="000000"/>
          <w:sz w:val="28"/>
        </w:rPr>
        <w:t>
      2. Критерии успешности трансфера технологии.</w:t>
      </w:r>
    </w:p>
    <w:bookmarkEnd w:id="493"/>
    <w:bookmarkStart w:name="z538" w:id="494"/>
    <w:p>
      <w:pPr>
        <w:spacing w:after="0"/>
        <w:ind w:left="0"/>
        <w:jc w:val="both"/>
      </w:pPr>
      <w:r>
        <w:rPr>
          <w:rFonts w:ascii="Times New Roman"/>
          <w:b w:val="false"/>
          <w:i w:val="false"/>
          <w:color w:val="000000"/>
          <w:sz w:val="28"/>
        </w:rPr>
        <w:t>
      3. Критические параметры процесса производства, критические параметры качества.</w:t>
      </w:r>
    </w:p>
    <w:bookmarkEnd w:id="494"/>
    <w:bookmarkStart w:name="z539" w:id="495"/>
    <w:p>
      <w:pPr>
        <w:spacing w:after="0"/>
        <w:ind w:left="0"/>
        <w:jc w:val="both"/>
      </w:pPr>
      <w:r>
        <w:rPr>
          <w:rFonts w:ascii="Times New Roman"/>
          <w:b w:val="false"/>
          <w:i w:val="false"/>
          <w:color w:val="000000"/>
          <w:sz w:val="28"/>
        </w:rPr>
        <w:t>
      4. Исполнение протокола трансфера технологии. Обзор всех стадий трансфера.</w:t>
      </w:r>
    </w:p>
    <w:bookmarkEnd w:id="495"/>
    <w:bookmarkStart w:name="z540" w:id="496"/>
    <w:p>
      <w:pPr>
        <w:spacing w:after="0"/>
        <w:ind w:left="0"/>
        <w:jc w:val="both"/>
      </w:pPr>
      <w:r>
        <w:rPr>
          <w:rFonts w:ascii="Times New Roman"/>
          <w:b w:val="false"/>
          <w:i w:val="false"/>
          <w:color w:val="000000"/>
          <w:sz w:val="28"/>
        </w:rPr>
        <w:t>
      В разделе необходимо представить краткий обзор технологии, поэтапное описание всех стадий трансфера, и сопоставимость данных по трансферу между принимающей и передающей сторонами, критические параметры, определенные передающей и принимающей сторонами (предпочтительнее в виде таблицы).</w:t>
      </w:r>
    </w:p>
    <w:bookmarkEnd w:id="496"/>
    <w:bookmarkStart w:name="z541" w:id="497"/>
    <w:p>
      <w:pPr>
        <w:spacing w:after="0"/>
        <w:ind w:left="0"/>
        <w:jc w:val="both"/>
      </w:pPr>
      <w:r>
        <w:rPr>
          <w:rFonts w:ascii="Times New Roman"/>
          <w:b w:val="false"/>
          <w:i w:val="false"/>
          <w:color w:val="000000"/>
          <w:sz w:val="28"/>
        </w:rPr>
        <w:t xml:space="preserve">
      5. Отклонения от запланированного процесса трансфера. </w:t>
      </w:r>
    </w:p>
    <w:bookmarkEnd w:id="497"/>
    <w:bookmarkStart w:name="z542" w:id="498"/>
    <w:p>
      <w:pPr>
        <w:spacing w:after="0"/>
        <w:ind w:left="0"/>
        <w:jc w:val="both"/>
      </w:pPr>
      <w:r>
        <w:rPr>
          <w:rFonts w:ascii="Times New Roman"/>
          <w:b w:val="false"/>
          <w:i w:val="false"/>
          <w:color w:val="000000"/>
          <w:sz w:val="28"/>
        </w:rPr>
        <w:t>
      В разделе необходимо описать критические или существенные отклонения от процесса трансфера, проблемы, обнаруженные на любом из этапов трансфера, определение необходимости разработки плана корректирующих и предупреждающих действий и оказания поддержки со стороны передающей стороны.</w:t>
      </w:r>
    </w:p>
    <w:bookmarkEnd w:id="498"/>
    <w:bookmarkStart w:name="z543" w:id="499"/>
    <w:p>
      <w:pPr>
        <w:spacing w:after="0"/>
        <w:ind w:left="0"/>
        <w:jc w:val="both"/>
      </w:pPr>
      <w:r>
        <w:rPr>
          <w:rFonts w:ascii="Times New Roman"/>
          <w:b w:val="false"/>
          <w:i w:val="false"/>
          <w:color w:val="000000"/>
          <w:sz w:val="28"/>
        </w:rPr>
        <w:t xml:space="preserve">
      6. Итоги трансфера технологии (наименование технологии) </w:t>
      </w:r>
    </w:p>
    <w:bookmarkEnd w:id="499"/>
    <w:bookmarkStart w:name="z544" w:id="500"/>
    <w:p>
      <w:pPr>
        <w:spacing w:after="0"/>
        <w:ind w:left="0"/>
        <w:jc w:val="both"/>
      </w:pPr>
      <w:r>
        <w:rPr>
          <w:rFonts w:ascii="Times New Roman"/>
          <w:b w:val="false"/>
          <w:i w:val="false"/>
          <w:color w:val="000000"/>
          <w:sz w:val="28"/>
        </w:rPr>
        <w:t xml:space="preserve">
      В разделе должны быть подведены итоги трансфера технологии. </w:t>
      </w:r>
    </w:p>
    <w:bookmarkEnd w:id="500"/>
    <w:bookmarkStart w:name="z545" w:id="501"/>
    <w:p>
      <w:pPr>
        <w:spacing w:after="0"/>
        <w:ind w:left="0"/>
        <w:jc w:val="both"/>
      </w:pPr>
      <w:r>
        <w:rPr>
          <w:rFonts w:ascii="Times New Roman"/>
          <w:b w:val="false"/>
          <w:i w:val="false"/>
          <w:color w:val="000000"/>
          <w:sz w:val="28"/>
        </w:rPr>
        <w:t xml:space="preserve">
      7. Оценка эффективности трансфера </w:t>
      </w:r>
    </w:p>
    <w:bookmarkEnd w:id="501"/>
    <w:bookmarkStart w:name="z546" w:id="502"/>
    <w:p>
      <w:pPr>
        <w:spacing w:after="0"/>
        <w:ind w:left="0"/>
        <w:jc w:val="both"/>
      </w:pPr>
      <w:r>
        <w:rPr>
          <w:rFonts w:ascii="Times New Roman"/>
          <w:b w:val="false"/>
          <w:i w:val="false"/>
          <w:color w:val="000000"/>
          <w:sz w:val="28"/>
        </w:rPr>
        <w:t>
      Рекомендуется провести оценку эффективности трансфера по достижению установленных критериев успешности.</w:t>
      </w:r>
    </w:p>
    <w:bookmarkEnd w:id="502"/>
    <w:bookmarkStart w:name="z547" w:id="503"/>
    <w:p>
      <w:pPr>
        <w:spacing w:after="0"/>
        <w:ind w:left="0"/>
        <w:jc w:val="both"/>
      </w:pPr>
      <w:r>
        <w:rPr>
          <w:rFonts w:ascii="Times New Roman"/>
          <w:b w:val="false"/>
          <w:i w:val="false"/>
          <w:color w:val="000000"/>
          <w:sz w:val="28"/>
        </w:rPr>
        <w:t>
      8. Общий вывод (включая одобрение менеджером проекта с отметкой об окончании передачи).</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Руководству по трансферу</w:t>
            </w:r>
            <w:r>
              <w:br/>
            </w:r>
            <w:r>
              <w:rPr>
                <w:rFonts w:ascii="Times New Roman"/>
                <w:b w:val="false"/>
                <w:i w:val="false"/>
                <w:color w:val="000000"/>
                <w:sz w:val="20"/>
              </w:rPr>
              <w:t>технологий и (или)</w:t>
            </w:r>
            <w:r>
              <w:br/>
            </w:r>
            <w:r>
              <w:rPr>
                <w:rFonts w:ascii="Times New Roman"/>
                <w:b w:val="false"/>
                <w:i w:val="false"/>
                <w:color w:val="000000"/>
                <w:sz w:val="20"/>
              </w:rPr>
              <w:t>аналитических методик при</w:t>
            </w:r>
            <w:r>
              <w:br/>
            </w:r>
            <w:r>
              <w:rPr>
                <w:rFonts w:ascii="Times New Roman"/>
                <w:b w:val="false"/>
                <w:i w:val="false"/>
                <w:color w:val="000000"/>
                <w:sz w:val="20"/>
              </w:rPr>
              <w:t>производстве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0" w:id="504"/>
    <w:p>
      <w:pPr>
        <w:spacing w:after="0"/>
        <w:ind w:left="0"/>
        <w:jc w:val="left"/>
      </w:pPr>
      <w:r>
        <w:rPr>
          <w:rFonts w:ascii="Times New Roman"/>
          <w:b/>
          <w:i w:val="false"/>
          <w:color w:val="000000"/>
        </w:rPr>
        <w:t xml:space="preserve"> ПРОТОКОЛ</w:t>
      </w:r>
      <w:r>
        <w:br/>
      </w:r>
      <w:r>
        <w:rPr>
          <w:rFonts w:ascii="Times New Roman"/>
          <w:b/>
          <w:i w:val="false"/>
          <w:color w:val="000000"/>
        </w:rPr>
        <w:t>трансфера аналитических методик</w:t>
      </w:r>
    </w:p>
    <w:bookmarkEnd w:id="504"/>
    <w:bookmarkStart w:name="z551" w:id="505"/>
    <w:p>
      <w:pPr>
        <w:spacing w:after="0"/>
        <w:ind w:left="0"/>
        <w:jc w:val="both"/>
      </w:pPr>
      <w:r>
        <w:rPr>
          <w:rFonts w:ascii="Times New Roman"/>
          <w:b w:val="false"/>
          <w:i w:val="false"/>
          <w:color w:val="000000"/>
          <w:sz w:val="28"/>
        </w:rPr>
        <w:t>
      Номер документа:</w:t>
      </w:r>
    </w:p>
    <w:bookmarkEnd w:id="505"/>
    <w:bookmarkStart w:name="z552" w:id="506"/>
    <w:p>
      <w:pPr>
        <w:spacing w:after="0"/>
        <w:ind w:left="0"/>
        <w:jc w:val="both"/>
      </w:pPr>
      <w:r>
        <w:rPr>
          <w:rFonts w:ascii="Times New Roman"/>
          <w:b w:val="false"/>
          <w:i w:val="false"/>
          <w:color w:val="000000"/>
          <w:sz w:val="28"/>
        </w:rPr>
        <w:t>
      Область (границы и (или) объект трансфера): (привести название лекарственного средства (стадии процесса, аналитической методики)</w:t>
      </w:r>
    </w:p>
    <w:bookmarkEnd w:id="506"/>
    <w:bookmarkStart w:name="z553" w:id="507"/>
    <w:p>
      <w:pPr>
        <w:spacing w:after="0"/>
        <w:ind w:left="0"/>
        <w:jc w:val="both"/>
      </w:pPr>
      <w:r>
        <w:rPr>
          <w:rFonts w:ascii="Times New Roman"/>
          <w:b w:val="false"/>
          <w:i w:val="false"/>
          <w:color w:val="000000"/>
          <w:sz w:val="28"/>
        </w:rPr>
        <w:t>
      1. Введение. Цель трансфера аналитических методик</w:t>
      </w:r>
    </w:p>
    <w:bookmarkEnd w:id="507"/>
    <w:bookmarkStart w:name="z554" w:id="508"/>
    <w:p>
      <w:pPr>
        <w:spacing w:after="0"/>
        <w:ind w:left="0"/>
        <w:jc w:val="both"/>
      </w:pPr>
      <w:r>
        <w:rPr>
          <w:rFonts w:ascii="Times New Roman"/>
          <w:b w:val="false"/>
          <w:i w:val="false"/>
          <w:color w:val="000000"/>
          <w:sz w:val="28"/>
        </w:rPr>
        <w:t xml:space="preserve">
      2. Обязанности сторон </w:t>
      </w:r>
    </w:p>
    <w:bookmarkEnd w:id="508"/>
    <w:bookmarkStart w:name="z555" w:id="509"/>
    <w:p>
      <w:pPr>
        <w:spacing w:after="0"/>
        <w:ind w:left="0"/>
        <w:jc w:val="both"/>
      </w:pPr>
      <w:r>
        <w:rPr>
          <w:rFonts w:ascii="Times New Roman"/>
          <w:b w:val="false"/>
          <w:i w:val="false"/>
          <w:color w:val="000000"/>
          <w:sz w:val="28"/>
        </w:rPr>
        <w:t xml:space="preserve">
      Представленный ниже перечень обязанностей сторон приведен в качестве примера. Фактический перечень обязанностей сторон может иметь иную последовательность изложения или иной перечень позиций, описывающий обязанности сторон. </w:t>
      </w:r>
    </w:p>
    <w:bookmarkEnd w:id="509"/>
    <w:bookmarkStart w:name="z556" w:id="510"/>
    <w:p>
      <w:pPr>
        <w:spacing w:after="0"/>
        <w:ind w:left="0"/>
        <w:jc w:val="both"/>
      </w:pPr>
      <w:r>
        <w:rPr>
          <w:rFonts w:ascii="Times New Roman"/>
          <w:b w:val="false"/>
          <w:i w:val="false"/>
          <w:color w:val="000000"/>
          <w:sz w:val="28"/>
        </w:rPr>
        <w:t>
      Передающая сторона:</w:t>
      </w:r>
    </w:p>
    <w:bookmarkEnd w:id="510"/>
    <w:bookmarkStart w:name="z557" w:id="511"/>
    <w:p>
      <w:pPr>
        <w:spacing w:after="0"/>
        <w:ind w:left="0"/>
        <w:jc w:val="both"/>
      </w:pPr>
      <w:r>
        <w:rPr>
          <w:rFonts w:ascii="Times New Roman"/>
          <w:b w:val="false"/>
          <w:i w:val="false"/>
          <w:color w:val="000000"/>
          <w:sz w:val="28"/>
        </w:rPr>
        <w:t>
      представляет необходимые документальные материалы;</w:t>
      </w:r>
    </w:p>
    <w:bookmarkEnd w:id="511"/>
    <w:bookmarkStart w:name="z558" w:id="512"/>
    <w:p>
      <w:pPr>
        <w:spacing w:after="0"/>
        <w:ind w:left="0"/>
        <w:jc w:val="both"/>
      </w:pPr>
      <w:r>
        <w:rPr>
          <w:rFonts w:ascii="Times New Roman"/>
          <w:b w:val="false"/>
          <w:i w:val="false"/>
          <w:color w:val="000000"/>
          <w:sz w:val="28"/>
        </w:rPr>
        <w:t>
      представляет аналитическую поддержку;</w:t>
      </w:r>
    </w:p>
    <w:bookmarkEnd w:id="512"/>
    <w:bookmarkStart w:name="z559" w:id="513"/>
    <w:p>
      <w:pPr>
        <w:spacing w:after="0"/>
        <w:ind w:left="0"/>
        <w:jc w:val="both"/>
      </w:pPr>
      <w:r>
        <w:rPr>
          <w:rFonts w:ascii="Times New Roman"/>
          <w:b w:val="false"/>
          <w:i w:val="false"/>
          <w:color w:val="000000"/>
          <w:sz w:val="28"/>
        </w:rPr>
        <w:t xml:space="preserve">
      разрабатывает и представляет на согласование проект протокола трансфера аналитических методик; </w:t>
      </w:r>
    </w:p>
    <w:bookmarkEnd w:id="513"/>
    <w:bookmarkStart w:name="z560" w:id="514"/>
    <w:p>
      <w:pPr>
        <w:spacing w:after="0"/>
        <w:ind w:left="0"/>
        <w:jc w:val="both"/>
      </w:pPr>
      <w:r>
        <w:rPr>
          <w:rFonts w:ascii="Times New Roman"/>
          <w:b w:val="false"/>
          <w:i w:val="false"/>
          <w:color w:val="000000"/>
          <w:sz w:val="28"/>
        </w:rPr>
        <w:t>
      представляет образцы лекарственного средства с сертификатом анализа, стандартные образцы, колонки для ВЭЖХ, реактивы и т.д. (указывается, что фактически передается);</w:t>
      </w:r>
    </w:p>
    <w:bookmarkEnd w:id="514"/>
    <w:bookmarkStart w:name="z561" w:id="515"/>
    <w:p>
      <w:pPr>
        <w:spacing w:after="0"/>
        <w:ind w:left="0"/>
        <w:jc w:val="both"/>
      </w:pPr>
      <w:r>
        <w:rPr>
          <w:rFonts w:ascii="Times New Roman"/>
          <w:b w:val="false"/>
          <w:i w:val="false"/>
          <w:color w:val="000000"/>
          <w:sz w:val="28"/>
        </w:rPr>
        <w:t xml:space="preserve">
      проверяет и оценивает результаты испытаний, полученных при трансфере аналитических методик; </w:t>
      </w:r>
    </w:p>
    <w:bookmarkEnd w:id="515"/>
    <w:bookmarkStart w:name="z562" w:id="516"/>
    <w:p>
      <w:pPr>
        <w:spacing w:after="0"/>
        <w:ind w:left="0"/>
        <w:jc w:val="both"/>
      </w:pPr>
      <w:r>
        <w:rPr>
          <w:rFonts w:ascii="Times New Roman"/>
          <w:b w:val="false"/>
          <w:i w:val="false"/>
          <w:color w:val="000000"/>
          <w:sz w:val="28"/>
        </w:rPr>
        <w:t>
      проверяет и утверждает отчет о трансфере аналитических методик;</w:t>
      </w:r>
    </w:p>
    <w:bookmarkEnd w:id="516"/>
    <w:bookmarkStart w:name="z563" w:id="517"/>
    <w:p>
      <w:pPr>
        <w:spacing w:after="0"/>
        <w:ind w:left="0"/>
        <w:jc w:val="both"/>
      </w:pPr>
      <w:r>
        <w:rPr>
          <w:rFonts w:ascii="Times New Roman"/>
          <w:b w:val="false"/>
          <w:i w:val="false"/>
          <w:color w:val="000000"/>
          <w:sz w:val="28"/>
        </w:rPr>
        <w:t>
      осуществляет контроль хранения первичных записей в соответствии с требованиями к управлению записями.</w:t>
      </w:r>
    </w:p>
    <w:bookmarkEnd w:id="517"/>
    <w:bookmarkStart w:name="z564" w:id="518"/>
    <w:p>
      <w:pPr>
        <w:spacing w:after="0"/>
        <w:ind w:left="0"/>
        <w:jc w:val="both"/>
      </w:pPr>
      <w:r>
        <w:rPr>
          <w:rFonts w:ascii="Times New Roman"/>
          <w:b w:val="false"/>
          <w:i w:val="false"/>
          <w:color w:val="000000"/>
          <w:sz w:val="28"/>
        </w:rPr>
        <w:t>
      Принимающая сторона:</w:t>
      </w:r>
    </w:p>
    <w:bookmarkEnd w:id="518"/>
    <w:bookmarkStart w:name="z565" w:id="519"/>
    <w:p>
      <w:pPr>
        <w:spacing w:after="0"/>
        <w:ind w:left="0"/>
        <w:jc w:val="both"/>
      </w:pPr>
      <w:r>
        <w:rPr>
          <w:rFonts w:ascii="Times New Roman"/>
          <w:b w:val="false"/>
          <w:i w:val="false"/>
          <w:color w:val="000000"/>
          <w:sz w:val="28"/>
        </w:rPr>
        <w:t>
      изучает предоставленные документальные материалы;</w:t>
      </w:r>
    </w:p>
    <w:bookmarkEnd w:id="519"/>
    <w:bookmarkStart w:name="z566" w:id="520"/>
    <w:p>
      <w:pPr>
        <w:spacing w:after="0"/>
        <w:ind w:left="0"/>
        <w:jc w:val="both"/>
      </w:pPr>
      <w:r>
        <w:rPr>
          <w:rFonts w:ascii="Times New Roman"/>
          <w:b w:val="false"/>
          <w:i w:val="false"/>
          <w:color w:val="000000"/>
          <w:sz w:val="28"/>
        </w:rPr>
        <w:t>
      рассматривает, согласовывает и утверждает протокол трансфера аналитических методик;</w:t>
      </w:r>
    </w:p>
    <w:bookmarkEnd w:id="520"/>
    <w:bookmarkStart w:name="z567" w:id="521"/>
    <w:p>
      <w:pPr>
        <w:spacing w:after="0"/>
        <w:ind w:left="0"/>
        <w:jc w:val="both"/>
      </w:pPr>
      <w:r>
        <w:rPr>
          <w:rFonts w:ascii="Times New Roman"/>
          <w:b w:val="false"/>
          <w:i w:val="false"/>
          <w:color w:val="000000"/>
          <w:sz w:val="28"/>
        </w:rPr>
        <w:t>
      представляет квалифицированный персонал, испытательное и вспомогательное оборудование, средства измерений;</w:t>
      </w:r>
    </w:p>
    <w:bookmarkEnd w:id="521"/>
    <w:bookmarkStart w:name="z568" w:id="522"/>
    <w:p>
      <w:pPr>
        <w:spacing w:after="0"/>
        <w:ind w:left="0"/>
        <w:jc w:val="both"/>
      </w:pPr>
      <w:r>
        <w:rPr>
          <w:rFonts w:ascii="Times New Roman"/>
          <w:b w:val="false"/>
          <w:i w:val="false"/>
          <w:color w:val="000000"/>
          <w:sz w:val="28"/>
        </w:rPr>
        <w:t>
      делает заявку на обучение персонала;</w:t>
      </w:r>
    </w:p>
    <w:bookmarkEnd w:id="522"/>
    <w:bookmarkStart w:name="z569" w:id="523"/>
    <w:p>
      <w:pPr>
        <w:spacing w:after="0"/>
        <w:ind w:left="0"/>
        <w:jc w:val="both"/>
      </w:pPr>
      <w:r>
        <w:rPr>
          <w:rFonts w:ascii="Times New Roman"/>
          <w:b w:val="false"/>
          <w:i w:val="false"/>
          <w:color w:val="000000"/>
          <w:sz w:val="28"/>
        </w:rPr>
        <w:t>
      выполняет испытания согласно нормативному документу по качеству лекарственного препарата;</w:t>
      </w:r>
    </w:p>
    <w:bookmarkEnd w:id="523"/>
    <w:bookmarkStart w:name="z570" w:id="524"/>
    <w:p>
      <w:pPr>
        <w:spacing w:after="0"/>
        <w:ind w:left="0"/>
        <w:jc w:val="both"/>
      </w:pPr>
      <w:r>
        <w:rPr>
          <w:rFonts w:ascii="Times New Roman"/>
          <w:b w:val="false"/>
          <w:i w:val="false"/>
          <w:color w:val="000000"/>
          <w:sz w:val="28"/>
        </w:rPr>
        <w:t>
      представляет результаты испытаний (заверенные подписями исполнителей копии отчетов оборудования, распечаток, чеков, записей в лабораторных журналах);</w:t>
      </w:r>
    </w:p>
    <w:bookmarkEnd w:id="524"/>
    <w:bookmarkStart w:name="z571" w:id="525"/>
    <w:p>
      <w:pPr>
        <w:spacing w:after="0"/>
        <w:ind w:left="0"/>
        <w:jc w:val="both"/>
      </w:pPr>
      <w:r>
        <w:rPr>
          <w:rFonts w:ascii="Times New Roman"/>
          <w:b w:val="false"/>
          <w:i w:val="false"/>
          <w:color w:val="000000"/>
          <w:sz w:val="28"/>
        </w:rPr>
        <w:t xml:space="preserve">
      оформляет отчет по полученным результатам и направляет его передающей стороне; </w:t>
      </w:r>
    </w:p>
    <w:bookmarkEnd w:id="525"/>
    <w:bookmarkStart w:name="z572" w:id="526"/>
    <w:p>
      <w:pPr>
        <w:spacing w:after="0"/>
        <w:ind w:left="0"/>
        <w:jc w:val="both"/>
      </w:pPr>
      <w:r>
        <w:rPr>
          <w:rFonts w:ascii="Times New Roman"/>
          <w:b w:val="false"/>
          <w:i w:val="false"/>
          <w:color w:val="000000"/>
          <w:sz w:val="28"/>
        </w:rPr>
        <w:t>
      осуществляют контроль за хранением первичных записей в соответствии с требованиями к управлению записями;</w:t>
      </w:r>
    </w:p>
    <w:bookmarkEnd w:id="526"/>
    <w:bookmarkStart w:name="z573" w:id="527"/>
    <w:p>
      <w:pPr>
        <w:spacing w:after="0"/>
        <w:ind w:left="0"/>
        <w:jc w:val="both"/>
      </w:pPr>
      <w:r>
        <w:rPr>
          <w:rFonts w:ascii="Times New Roman"/>
          <w:b w:val="false"/>
          <w:i w:val="false"/>
          <w:color w:val="000000"/>
          <w:sz w:val="28"/>
        </w:rPr>
        <w:t>
      другие обязанности в соответствии с распределением обязанностей между сторонами.</w:t>
      </w:r>
    </w:p>
    <w:bookmarkEnd w:id="527"/>
    <w:bookmarkStart w:name="z574" w:id="528"/>
    <w:p>
      <w:pPr>
        <w:spacing w:after="0"/>
        <w:ind w:left="0"/>
        <w:jc w:val="both"/>
      </w:pPr>
      <w:r>
        <w:rPr>
          <w:rFonts w:ascii="Times New Roman"/>
          <w:b w:val="false"/>
          <w:i w:val="false"/>
          <w:color w:val="000000"/>
          <w:sz w:val="28"/>
        </w:rPr>
        <w:t xml:space="preserve">
      3. Аналитические методики, подлежащие трансферу </w:t>
      </w:r>
    </w:p>
    <w:bookmarkEnd w:id="528"/>
    <w:bookmarkStart w:name="z575" w:id="529"/>
    <w:p>
      <w:pPr>
        <w:spacing w:after="0"/>
        <w:ind w:left="0"/>
        <w:jc w:val="both"/>
      </w:pPr>
      <w:r>
        <w:rPr>
          <w:rFonts w:ascii="Times New Roman"/>
          <w:b w:val="false"/>
          <w:i w:val="false"/>
          <w:color w:val="000000"/>
          <w:sz w:val="28"/>
        </w:rPr>
        <w:t>
      В приведенной ниже таблице представлен пример ее заполнения.</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документа (стандартной операционной процедуры, </w:t>
            </w:r>
          </w:p>
          <w:p>
            <w:pPr>
              <w:spacing w:after="20"/>
              <w:ind w:left="20"/>
              <w:jc w:val="both"/>
            </w:pPr>
            <w:r>
              <w:rPr>
                <w:rFonts w:ascii="Times New Roman"/>
                <w:b w:val="false"/>
                <w:i w:val="false"/>
                <w:color w:val="000000"/>
                <w:sz w:val="20"/>
              </w:rPr>
              <w:t>методики испытаний) принимающей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Подлинность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капиллярный электрофорез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для лекарственного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30"/>
          <w:p>
            <w:pPr>
              <w:spacing w:after="20"/>
              <w:ind w:left="20"/>
              <w:jc w:val="both"/>
            </w:pPr>
            <w:r>
              <w:rPr>
                <w:rFonts w:ascii="Times New Roman"/>
                <w:b w:val="false"/>
                <w:i w:val="false"/>
                <w:color w:val="000000"/>
                <w:sz w:val="20"/>
              </w:rPr>
              <w:t>
СОП (МИ)</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w:t>
            </w:r>
            <w:r>
              <w:rPr>
                <w:rFonts w:ascii="Times New Roman"/>
                <w:b w:val="false"/>
                <w:i w:val="false"/>
                <w:color w:val="000000"/>
                <w:sz w:val="20"/>
              </w:rPr>
              <w:t>СОП (МИ)</w:t>
            </w:r>
          </w:p>
          <w:p>
            <w:pPr>
              <w:spacing w:after="20"/>
              <w:ind w:left="20"/>
              <w:jc w:val="both"/>
            </w:pPr>
            <w:r>
              <w:rPr>
                <w:rFonts w:ascii="Times New Roman"/>
                <w:b w:val="false"/>
                <w:i w:val="false"/>
                <w:color w:val="000000"/>
                <w:sz w:val="20"/>
              </w:rPr>
              <w:t>
</w:t>
            </w: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Посторонние примеси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для лекарственного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31"/>
          <w:p>
            <w:pPr>
              <w:spacing w:after="20"/>
              <w:ind w:left="20"/>
              <w:jc w:val="both"/>
            </w:pPr>
            <w:r>
              <w:rPr>
                <w:rFonts w:ascii="Times New Roman"/>
                <w:b w:val="false"/>
                <w:i w:val="false"/>
                <w:color w:val="000000"/>
                <w:sz w:val="20"/>
              </w:rPr>
              <w:t>
СОП (МИ)</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w:t>
            </w:r>
            <w:r>
              <w:rPr>
                <w:rFonts w:ascii="Times New Roman"/>
                <w:b w:val="false"/>
                <w:i w:val="false"/>
                <w:color w:val="000000"/>
                <w:sz w:val="20"/>
              </w:rPr>
              <w:t>СОП (МИ)</w:t>
            </w:r>
          </w:p>
          <w:p>
            <w:pPr>
              <w:spacing w:after="20"/>
              <w:ind w:left="20"/>
              <w:jc w:val="both"/>
            </w:pPr>
            <w:r>
              <w:rPr>
                <w:rFonts w:ascii="Times New Roman"/>
                <w:b w:val="false"/>
                <w:i w:val="false"/>
                <w:color w:val="000000"/>
                <w:sz w:val="20"/>
              </w:rPr>
              <w:t>
</w:t>
            </w: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Количественное определение включая Подлинность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для лекарственного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32"/>
          <w:p>
            <w:pPr>
              <w:spacing w:after="20"/>
              <w:ind w:left="20"/>
              <w:jc w:val="both"/>
            </w:pPr>
            <w:r>
              <w:rPr>
                <w:rFonts w:ascii="Times New Roman"/>
                <w:b w:val="false"/>
                <w:i w:val="false"/>
                <w:color w:val="000000"/>
                <w:sz w:val="20"/>
              </w:rPr>
              <w:t>
СОП (МИ)</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w:t>
            </w:r>
            <w:r>
              <w:rPr>
                <w:rFonts w:ascii="Times New Roman"/>
                <w:b w:val="false"/>
                <w:i w:val="false"/>
                <w:color w:val="000000"/>
                <w:sz w:val="20"/>
              </w:rPr>
              <w:t>СОП (МИ)</w:t>
            </w:r>
          </w:p>
          <w:p>
            <w:pPr>
              <w:spacing w:after="20"/>
              <w:ind w:left="20"/>
              <w:jc w:val="both"/>
            </w:pPr>
            <w:r>
              <w:rPr>
                <w:rFonts w:ascii="Times New Roman"/>
                <w:b w:val="false"/>
                <w:i w:val="false"/>
                <w:color w:val="000000"/>
                <w:sz w:val="20"/>
              </w:rPr>
              <w:t>
</w:t>
            </w: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w:t>
            </w:r>
          </w:p>
        </w:tc>
      </w:tr>
    </w:tbl>
    <w:bookmarkStart w:name="z588" w:id="533"/>
    <w:p>
      <w:pPr>
        <w:spacing w:after="0"/>
        <w:ind w:left="0"/>
        <w:jc w:val="both"/>
      </w:pPr>
      <w:r>
        <w:rPr>
          <w:rFonts w:ascii="Times New Roman"/>
          <w:b w:val="false"/>
          <w:i w:val="false"/>
          <w:color w:val="000000"/>
          <w:sz w:val="28"/>
        </w:rPr>
        <w:t>
      4. Спецификации на сырье и материалы, лекарственное средство.</w:t>
      </w:r>
    </w:p>
    <w:bookmarkEnd w:id="533"/>
    <w:bookmarkStart w:name="z589" w:id="534"/>
    <w:p>
      <w:pPr>
        <w:spacing w:after="0"/>
        <w:ind w:left="0"/>
        <w:jc w:val="both"/>
      </w:pPr>
      <w:r>
        <w:rPr>
          <w:rFonts w:ascii="Times New Roman"/>
          <w:b w:val="false"/>
          <w:i w:val="false"/>
          <w:color w:val="000000"/>
          <w:sz w:val="28"/>
        </w:rPr>
        <w:t>
      5. Методики, не включенные в протокол трансфера аналитических методик.</w:t>
      </w:r>
    </w:p>
    <w:bookmarkEnd w:id="534"/>
    <w:bookmarkStart w:name="z590" w:id="535"/>
    <w:p>
      <w:pPr>
        <w:spacing w:after="0"/>
        <w:ind w:left="0"/>
        <w:jc w:val="both"/>
      </w:pPr>
      <w:r>
        <w:rPr>
          <w:rFonts w:ascii="Times New Roman"/>
          <w:b w:val="false"/>
          <w:i w:val="false"/>
          <w:color w:val="000000"/>
          <w:sz w:val="28"/>
        </w:rPr>
        <w:t>
      В приведенной ниже таблице представлен пример ее заполнения.</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отсутствие переноса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36"/>
          <w:p>
            <w:pPr>
              <w:spacing w:after="20"/>
              <w:ind w:left="20"/>
              <w:jc w:val="both"/>
            </w:pPr>
            <w:r>
              <w:rPr>
                <w:rFonts w:ascii="Times New Roman"/>
                <w:b w:val="false"/>
                <w:i w:val="false"/>
                <w:color w:val="000000"/>
                <w:sz w:val="20"/>
              </w:rPr>
              <w:t>
Используются общие лабораторные или фармакопейные методики</w:t>
            </w:r>
          </w:p>
          <w:bookmarkEnd w:id="53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Однородность дозированных единиц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МБЧ (ОЧГ, ОЧБ, Escherichia Coli)</w:t>
            </w:r>
          </w:p>
        </w:tc>
        <w:tc>
          <w:tcPr>
            <w:tcW w:w="0" w:type="auto"/>
            <w:vMerge/>
            <w:tcBorders>
              <w:top w:val="nil"/>
              <w:left w:val="single" w:color="cfcfcf" w:sz="5"/>
              <w:bottom w:val="single" w:color="cfcfcf" w:sz="5"/>
              <w:right w:val="single" w:color="cfcfcf" w:sz="5"/>
            </w:tcBorders>
          </w:tcPr>
          <w:p/>
        </w:tc>
      </w:tr>
    </w:tbl>
    <w:bookmarkStart w:name="z592" w:id="537"/>
    <w:p>
      <w:pPr>
        <w:spacing w:after="0"/>
        <w:ind w:left="0"/>
        <w:jc w:val="both"/>
      </w:pPr>
      <w:r>
        <w:rPr>
          <w:rFonts w:ascii="Times New Roman"/>
          <w:b w:val="false"/>
          <w:i w:val="false"/>
          <w:color w:val="000000"/>
          <w:sz w:val="28"/>
        </w:rPr>
        <w:t>
      Временные рамки трансфера аналитических методик</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трансфера аналитических методик</w:t>
            </w:r>
            <w:r>
              <w:rPr>
                <w:rFonts w:ascii="Times New Roman"/>
                <w:b w:val="false"/>
                <w:i w:val="false"/>
                <w:color w:val="000000"/>
                <w:vertAlign w:val="superscript"/>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завершения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необходимых документов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обучения персонала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способности персонала выполнить аналитическую методику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протокола трансфера аналитических методик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образцов (стандартных образцов, реактивов, материалов,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протокола трансфера аналитических методик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исполнения протокола трансфера аналитических методик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 трансфере аналитических методик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3" w:id="5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Задачи трансфера аналитических методик в настоящем пункте плана приведены в качестве примера и могут быть сформулированы иначе, в зависимости от целей и назначения трансфера аналитических методик.</w:t>
      </w:r>
    </w:p>
    <w:bookmarkEnd w:id="538"/>
    <w:bookmarkStart w:name="z594" w:id="539"/>
    <w:p>
      <w:pPr>
        <w:spacing w:after="0"/>
        <w:ind w:left="0"/>
        <w:jc w:val="both"/>
      </w:pPr>
      <w:r>
        <w:rPr>
          <w:rFonts w:ascii="Times New Roman"/>
          <w:b w:val="false"/>
          <w:i w:val="false"/>
          <w:color w:val="000000"/>
          <w:sz w:val="28"/>
        </w:rPr>
        <w:t xml:space="preserve">
      6. Образцы и материалы для испытаний </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образца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5" w:id="540"/>
    <w:p>
      <w:pPr>
        <w:spacing w:after="0"/>
        <w:ind w:left="0"/>
        <w:jc w:val="both"/>
      </w:pPr>
      <w:r>
        <w:rPr>
          <w:rFonts w:ascii="Times New Roman"/>
          <w:b w:val="false"/>
          <w:i w:val="false"/>
          <w:color w:val="000000"/>
          <w:sz w:val="28"/>
        </w:rPr>
        <w:t>
      При описании образцов следует указать:</w:t>
      </w:r>
    </w:p>
    <w:bookmarkEnd w:id="540"/>
    <w:bookmarkStart w:name="z596" w:id="541"/>
    <w:p>
      <w:pPr>
        <w:spacing w:after="0"/>
        <w:ind w:left="0"/>
        <w:jc w:val="both"/>
      </w:pPr>
      <w:r>
        <w:rPr>
          <w:rFonts w:ascii="Times New Roman"/>
          <w:b w:val="false"/>
          <w:i w:val="false"/>
          <w:color w:val="000000"/>
          <w:sz w:val="28"/>
        </w:rPr>
        <w:t>
      наименования образцов лекарственного препарата;</w:t>
      </w:r>
    </w:p>
    <w:bookmarkEnd w:id="541"/>
    <w:bookmarkStart w:name="z597" w:id="542"/>
    <w:p>
      <w:pPr>
        <w:spacing w:after="0"/>
        <w:ind w:left="0"/>
        <w:jc w:val="both"/>
      </w:pPr>
      <w:r>
        <w:rPr>
          <w:rFonts w:ascii="Times New Roman"/>
          <w:b w:val="false"/>
          <w:i w:val="false"/>
          <w:color w:val="000000"/>
          <w:sz w:val="28"/>
        </w:rPr>
        <w:t>
      номера серий образцов лекарственного препарата;</w:t>
      </w:r>
    </w:p>
    <w:bookmarkEnd w:id="542"/>
    <w:bookmarkStart w:name="z598" w:id="543"/>
    <w:p>
      <w:pPr>
        <w:spacing w:after="0"/>
        <w:ind w:left="0"/>
        <w:jc w:val="both"/>
      </w:pPr>
      <w:r>
        <w:rPr>
          <w:rFonts w:ascii="Times New Roman"/>
          <w:b w:val="false"/>
          <w:i w:val="false"/>
          <w:color w:val="000000"/>
          <w:sz w:val="28"/>
        </w:rPr>
        <w:t>
      количество образцов лекарственного препарата;</w:t>
      </w:r>
    </w:p>
    <w:bookmarkEnd w:id="543"/>
    <w:bookmarkStart w:name="z599" w:id="544"/>
    <w:p>
      <w:pPr>
        <w:spacing w:after="0"/>
        <w:ind w:left="0"/>
        <w:jc w:val="both"/>
      </w:pPr>
      <w:r>
        <w:rPr>
          <w:rFonts w:ascii="Times New Roman"/>
          <w:b w:val="false"/>
          <w:i w:val="false"/>
          <w:color w:val="000000"/>
          <w:sz w:val="28"/>
        </w:rPr>
        <w:t>
      используемые стандартные образцы.</w:t>
      </w:r>
    </w:p>
    <w:bookmarkEnd w:id="544"/>
    <w:bookmarkStart w:name="z600" w:id="545"/>
    <w:p>
      <w:pPr>
        <w:spacing w:after="0"/>
        <w:ind w:left="0"/>
        <w:jc w:val="both"/>
      </w:pPr>
      <w:r>
        <w:rPr>
          <w:rFonts w:ascii="Times New Roman"/>
          <w:b w:val="false"/>
          <w:i w:val="false"/>
          <w:color w:val="000000"/>
          <w:sz w:val="28"/>
        </w:rPr>
        <w:t>
      Следует идентифицировать любые специальные условия транспортировки и хранения образцов лекарственного препарата для испытаний.</w:t>
      </w:r>
    </w:p>
    <w:bookmarkEnd w:id="545"/>
    <w:bookmarkStart w:name="z601" w:id="546"/>
    <w:p>
      <w:pPr>
        <w:spacing w:after="0"/>
        <w:ind w:left="0"/>
        <w:jc w:val="both"/>
      </w:pPr>
      <w:r>
        <w:rPr>
          <w:rFonts w:ascii="Times New Roman"/>
          <w:b w:val="false"/>
          <w:i w:val="false"/>
          <w:color w:val="000000"/>
          <w:sz w:val="28"/>
        </w:rPr>
        <w:t>
      7. Условия проведения трансфера аналитических методик.</w:t>
      </w:r>
    </w:p>
    <w:bookmarkEnd w:id="546"/>
    <w:bookmarkStart w:name="z602" w:id="547"/>
    <w:p>
      <w:pPr>
        <w:spacing w:after="0"/>
        <w:ind w:left="0"/>
        <w:jc w:val="both"/>
      </w:pPr>
      <w:r>
        <w:rPr>
          <w:rFonts w:ascii="Times New Roman"/>
          <w:b w:val="false"/>
          <w:i w:val="false"/>
          <w:color w:val="000000"/>
          <w:sz w:val="28"/>
        </w:rPr>
        <w:t>
      В каждом испытании участвуют 2 специалиста отдела контроля качества принимающей стороны.</w:t>
      </w:r>
    </w:p>
    <w:bookmarkEnd w:id="547"/>
    <w:bookmarkStart w:name="z603" w:id="548"/>
    <w:p>
      <w:pPr>
        <w:spacing w:after="0"/>
        <w:ind w:left="0"/>
        <w:jc w:val="both"/>
      </w:pPr>
      <w:r>
        <w:rPr>
          <w:rFonts w:ascii="Times New Roman"/>
          <w:b w:val="false"/>
          <w:i w:val="false"/>
          <w:color w:val="000000"/>
          <w:sz w:val="28"/>
        </w:rPr>
        <w:t>
      Проводить испытания необходимо в разные дни, используя растворы и реактивы, подготовленные индивидуально для исследования.</w:t>
      </w:r>
    </w:p>
    <w:bookmarkEnd w:id="548"/>
    <w:bookmarkStart w:name="z604" w:id="549"/>
    <w:p>
      <w:pPr>
        <w:spacing w:after="0"/>
        <w:ind w:left="0"/>
        <w:jc w:val="both"/>
      </w:pPr>
      <w:r>
        <w:rPr>
          <w:rFonts w:ascii="Times New Roman"/>
          <w:b w:val="false"/>
          <w:i w:val="false"/>
          <w:color w:val="000000"/>
          <w:sz w:val="28"/>
        </w:rPr>
        <w:t>
      Количество повторений независимых испытаний каждым аналитиком 6 раз.</w:t>
      </w:r>
    </w:p>
    <w:bookmarkEnd w:id="549"/>
    <w:bookmarkStart w:name="z605" w:id="550"/>
    <w:p>
      <w:pPr>
        <w:spacing w:after="0"/>
        <w:ind w:left="0"/>
        <w:jc w:val="both"/>
      </w:pPr>
      <w:r>
        <w:rPr>
          <w:rFonts w:ascii="Times New Roman"/>
          <w:b w:val="false"/>
          <w:i w:val="false"/>
          <w:color w:val="000000"/>
          <w:sz w:val="28"/>
        </w:rPr>
        <w:t>
      8.1. Количественное определение действующего вещества</w:t>
      </w:r>
    </w:p>
    <w:bookmarkEnd w:id="550"/>
    <w:bookmarkStart w:name="z606" w:id="551"/>
    <w:p>
      <w:pPr>
        <w:spacing w:after="0"/>
        <w:ind w:left="0"/>
        <w:jc w:val="both"/>
      </w:pPr>
      <w:r>
        <w:rPr>
          <w:rFonts w:ascii="Times New Roman"/>
          <w:b w:val="false"/>
          <w:i w:val="false"/>
          <w:color w:val="000000"/>
          <w:sz w:val="28"/>
        </w:rPr>
        <w:t>
      8.2. Примеси</w:t>
      </w:r>
    </w:p>
    <w:bookmarkEnd w:id="551"/>
    <w:bookmarkStart w:name="z607" w:id="552"/>
    <w:p>
      <w:pPr>
        <w:spacing w:after="0"/>
        <w:ind w:left="0"/>
        <w:jc w:val="both"/>
      </w:pPr>
      <w:r>
        <w:rPr>
          <w:rFonts w:ascii="Times New Roman"/>
          <w:b w:val="false"/>
          <w:i w:val="false"/>
          <w:color w:val="000000"/>
          <w:sz w:val="28"/>
        </w:rPr>
        <w:t>
      В приведенной ниже таблице представлен пример ее заполнения.</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08" w:id="553"/>
    <w:p>
      <w:pPr>
        <w:spacing w:after="0"/>
        <w:ind w:left="0"/>
        <w:jc w:val="both"/>
      </w:pPr>
      <w:r>
        <w:rPr>
          <w:rFonts w:ascii="Times New Roman"/>
          <w:b w:val="false"/>
          <w:i w:val="false"/>
          <w:color w:val="000000"/>
          <w:sz w:val="28"/>
        </w:rPr>
        <w:t>
      8. Экспериментальный план трансфера и критерии приемлемости аналитических методик.</w:t>
      </w:r>
    </w:p>
    <w:bookmarkEnd w:id="553"/>
    <w:bookmarkStart w:name="z609" w:id="554"/>
    <w:p>
      <w:pPr>
        <w:spacing w:after="0"/>
        <w:ind w:left="0"/>
        <w:jc w:val="both"/>
      </w:pPr>
      <w:r>
        <w:rPr>
          <w:rFonts w:ascii="Times New Roman"/>
          <w:b w:val="false"/>
          <w:i w:val="false"/>
          <w:color w:val="000000"/>
          <w:sz w:val="28"/>
        </w:rPr>
        <w:t>
      В приведенных ниже таблицах представлен пример заполнения. Количественные показатели (значения) в таблице носят иллюстративный характер и не должны рассматриваться в качестве рекомендуемых значений при трансфере аналитических методик. Фактические значения количественных показателей и критериев приемлемости следует обосновывать в отчете о трансфере аналитических методик.</w:t>
      </w:r>
    </w:p>
    <w:bookmarkEnd w:id="554"/>
    <w:bookmarkStart w:name="z610" w:id="555"/>
    <w:p>
      <w:pPr>
        <w:spacing w:after="0"/>
        <w:ind w:left="0"/>
        <w:jc w:val="both"/>
      </w:pPr>
      <w:r>
        <w:rPr>
          <w:rFonts w:ascii="Times New Roman"/>
          <w:b w:val="false"/>
          <w:i w:val="false"/>
          <w:color w:val="000000"/>
          <w:sz w:val="28"/>
        </w:rPr>
        <w:t>
      9.1.Количественное определение действующего вещества</w:t>
      </w:r>
    </w:p>
    <w:bookmarkEnd w:id="555"/>
    <w:bookmarkStart w:name="z611" w:id="556"/>
    <w:p>
      <w:pPr>
        <w:spacing w:after="0"/>
        <w:ind w:left="0"/>
        <w:jc w:val="left"/>
      </w:pPr>
      <w:r>
        <w:rPr>
          <w:rFonts w:ascii="Times New Roman"/>
          <w:b/>
          <w:i w:val="false"/>
          <w:color w:val="000000"/>
        </w:rPr>
        <w:t xml:space="preserve"> Испытание № 1. Количественное определение</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Подготовительная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57"/>
          <w:p>
            <w:pPr>
              <w:spacing w:after="20"/>
              <w:ind w:left="20"/>
              <w:jc w:val="both"/>
            </w:pPr>
            <w:r>
              <w:rPr>
                <w:rFonts w:ascii="Times New Roman"/>
                <w:b w:val="false"/>
                <w:i w:val="false"/>
                <w:color w:val="000000"/>
                <w:sz w:val="20"/>
              </w:rPr>
              <w:t>
Проверка пригодности</w:t>
            </w:r>
          </w:p>
          <w:bookmarkEnd w:id="557"/>
          <w:p>
            <w:pPr>
              <w:spacing w:after="20"/>
              <w:ind w:left="20"/>
              <w:jc w:val="both"/>
            </w:pPr>
            <w:r>
              <w:rPr>
                <w:rFonts w:ascii="Times New Roman"/>
                <w:b w:val="false"/>
                <w:i w:val="false"/>
                <w:color w:val="000000"/>
                <w:sz w:val="20"/>
              </w:rPr>
              <w:t xml:space="preserve">
хроматографической системы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58"/>
          <w:p>
            <w:pPr>
              <w:spacing w:after="20"/>
              <w:ind w:left="20"/>
              <w:jc w:val="both"/>
            </w:pPr>
            <w:r>
              <w:rPr>
                <w:rFonts w:ascii="Times New Roman"/>
                <w:b w:val="false"/>
                <w:i w:val="false"/>
                <w:color w:val="000000"/>
                <w:sz w:val="20"/>
              </w:rPr>
              <w:t>
1. Один раз вводят подвижную фазу.</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2. Один раз вводят раствор для проверки пригодности хроматографической системы (время цикла 25 минут).</w:t>
            </w:r>
          </w:p>
          <w:p>
            <w:pPr>
              <w:spacing w:after="20"/>
              <w:ind w:left="20"/>
              <w:jc w:val="both"/>
            </w:pPr>
            <w:r>
              <w:rPr>
                <w:rFonts w:ascii="Times New Roman"/>
                <w:b w:val="false"/>
                <w:i w:val="false"/>
                <w:color w:val="000000"/>
                <w:sz w:val="20"/>
              </w:rPr>
              <w:t xml:space="preserve">
3. Пять раз вводят раствор стандартного образца.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9"/>
          <w:p>
            <w:pPr>
              <w:spacing w:after="20"/>
              <w:ind w:left="20"/>
              <w:jc w:val="both"/>
            </w:pPr>
            <w:r>
              <w:rPr>
                <w:rFonts w:ascii="Times New Roman"/>
                <w:b w:val="false"/>
                <w:i w:val="false"/>
                <w:color w:val="000000"/>
                <w:sz w:val="20"/>
              </w:rPr>
              <w:t xml:space="preserve">
1. Пики на хроматограмме раствора для проверки пригодности хроматографической системы. </w:t>
            </w:r>
          </w:p>
          <w:bookmarkEnd w:id="559"/>
          <w:p>
            <w:pPr>
              <w:spacing w:after="20"/>
              <w:ind w:left="20"/>
              <w:jc w:val="both"/>
            </w:pPr>
            <w:r>
              <w:rPr>
                <w:rFonts w:ascii="Times New Roman"/>
                <w:b w:val="false"/>
                <w:i w:val="false"/>
                <w:color w:val="000000"/>
                <w:sz w:val="20"/>
              </w:rPr>
              <w:t>
2. Пик BMS-232632 ("ВЕЩЕСТВО") на хроматограмме раствора стандартного образца.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приемлемости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60"/>
          <w:p>
            <w:pPr>
              <w:spacing w:after="20"/>
              <w:ind w:left="20"/>
              <w:jc w:val="both"/>
            </w:pPr>
            <w:r>
              <w:rPr>
                <w:rFonts w:ascii="Times New Roman"/>
                <w:b w:val="false"/>
                <w:i w:val="false"/>
                <w:color w:val="000000"/>
                <w:sz w:val="20"/>
              </w:rPr>
              <w:t>
1. Разрешение между пиками BMS-232632 ("ВЕЩЕСТВО") и BMS-233084 должно быть</w:t>
            </w:r>
          </w:p>
          <w:bookmarkEnd w:id="560"/>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r>
              <w:rPr>
                <w:rFonts w:ascii="Times New Roman"/>
                <w:b w:val="false"/>
                <w:i w:val="false"/>
                <w:color w:val="000000"/>
                <w:sz w:val="20"/>
              </w:rPr>
              <w:t>2. RSD 5 введений рабочего стандарта 1 должен быть ≤ 2,0 %.</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Значение Фактора асимметрии должно быть не более 2.</w:t>
            </w:r>
          </w:p>
          <w:p>
            <w:pPr>
              <w:spacing w:after="20"/>
              <w:ind w:left="20"/>
              <w:jc w:val="both"/>
            </w:pPr>
            <w:r>
              <w:rPr>
                <w:rFonts w:ascii="Times New Roman"/>
                <w:b w:val="false"/>
                <w:i w:val="false"/>
                <w:color w:val="000000"/>
                <w:sz w:val="20"/>
              </w:rPr>
              <w:t>
4. Число теоретических тарелок должно быть не менее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проведения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61"/>
          <w:p>
            <w:pPr>
              <w:spacing w:after="20"/>
              <w:ind w:left="20"/>
              <w:jc w:val="both"/>
            </w:pPr>
            <w:r>
              <w:rPr>
                <w:rFonts w:ascii="Times New Roman"/>
                <w:b w:val="false"/>
                <w:i w:val="false"/>
                <w:color w:val="000000"/>
                <w:sz w:val="20"/>
              </w:rPr>
              <w:t>
1. Выполняют испытания согласно таблице раздела 8.2 настоящего протокола.</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1 раз вводят подвижную фазу.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3. 1 раз вводят раствор для проверки пригодности хроматографической системы (время цикла 25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4. 5 раз вводят раствор стандартного образца.</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Готовят не менее 3 испытуемых растворов для каждой из 3 серий (не менее 9 растворов).</w:t>
            </w:r>
          </w:p>
          <w:p>
            <w:pPr>
              <w:spacing w:after="20"/>
              <w:ind w:left="20"/>
              <w:jc w:val="both"/>
            </w:pPr>
            <w:r>
              <w:rPr>
                <w:rFonts w:ascii="Times New Roman"/>
                <w:b w:val="false"/>
                <w:i w:val="false"/>
                <w:color w:val="000000"/>
                <w:sz w:val="20"/>
              </w:rPr>
              <w:t>1 раз вводят все растворы.</w:t>
            </w:r>
          </w:p>
          <w:p>
            <w:pPr>
              <w:spacing w:after="20"/>
              <w:ind w:left="20"/>
              <w:jc w:val="both"/>
            </w:pPr>
            <w:r>
              <w:rPr>
                <w:rFonts w:ascii="Times New Roman"/>
                <w:b w:val="false"/>
                <w:i w:val="false"/>
                <w:color w:val="000000"/>
                <w:sz w:val="20"/>
              </w:rPr>
              <w:t>
6. Повторяют это испытание еще 2 раза (в соответствии с таблицей раздела 8.2 настоящего протокола).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результатов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62"/>
          <w:p>
            <w:pPr>
              <w:spacing w:after="20"/>
              <w:ind w:left="20"/>
              <w:jc w:val="both"/>
            </w:pPr>
            <w:r>
              <w:rPr>
                <w:rFonts w:ascii="Times New Roman"/>
                <w:b w:val="false"/>
                <w:i w:val="false"/>
                <w:color w:val="000000"/>
                <w:sz w:val="20"/>
              </w:rPr>
              <w:t xml:space="preserve">
1. Интегрируют пики раствора для проверки пригодности хроматографической системы. </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2. Интегрируют пик BMS-232632 ("ВЕЩЕСТВО") на хроматограмме раствора стандартного образца.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Рассчитывают содержание действующего вещества в каждом растворе (мг/единица дозирования).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Рассчитывают фактическое содержание действующего вещества в каждом растворе в процентах (с точностью до первого десятичного знака) от заявленного количества.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Вычисляют средний процент (с точностью до первого десятичного знака) фактического содержания действующего вещества от заявленного количества для каждой серии лекарственного препарата.</w:t>
            </w:r>
          </w:p>
          <w:p>
            <w:pPr>
              <w:spacing w:after="20"/>
              <w:ind w:left="20"/>
              <w:jc w:val="both"/>
            </w:pPr>
            <w:r>
              <w:rPr>
                <w:rFonts w:ascii="Times New Roman"/>
                <w:b w:val="false"/>
                <w:i w:val="false"/>
                <w:color w:val="000000"/>
                <w:sz w:val="20"/>
              </w:rPr>
              <w:t>
6. Вычисляют значение RSD для каждой серии лекарственного препарата по результатам расчета фактического содержания действующего вещества в лекарственном препарате в процентах от заявленного количества действующего вещества в лекарственном препарате.</w:t>
            </w:r>
          </w:p>
        </w:tc>
      </w:tr>
    </w:tbl>
    <w:bookmarkStart w:name="z629" w:id="563"/>
    <w:p>
      <w:pPr>
        <w:spacing w:after="0"/>
        <w:ind w:left="0"/>
        <w:jc w:val="both"/>
      </w:pPr>
      <w:r>
        <w:rPr>
          <w:rFonts w:ascii="Times New Roman"/>
          <w:b w:val="false"/>
          <w:i w:val="false"/>
          <w:color w:val="000000"/>
          <w:sz w:val="28"/>
        </w:rPr>
        <w:t>
      9.2. Примеси</w:t>
      </w:r>
    </w:p>
    <w:bookmarkEnd w:id="563"/>
    <w:bookmarkStart w:name="z630" w:id="564"/>
    <w:p>
      <w:pPr>
        <w:spacing w:after="0"/>
        <w:ind w:left="0"/>
        <w:jc w:val="left"/>
      </w:pPr>
      <w:r>
        <w:rPr>
          <w:rFonts w:ascii="Times New Roman"/>
          <w:b/>
          <w:i w:val="false"/>
          <w:color w:val="000000"/>
        </w:rPr>
        <w:t xml:space="preserve"> Испытание № 2. Посторонние примеси</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Подготовительная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65"/>
          <w:p>
            <w:pPr>
              <w:spacing w:after="20"/>
              <w:ind w:left="20"/>
              <w:jc w:val="both"/>
            </w:pPr>
            <w:r>
              <w:rPr>
                <w:rFonts w:ascii="Times New Roman"/>
                <w:b w:val="false"/>
                <w:i w:val="false"/>
                <w:color w:val="000000"/>
                <w:sz w:val="20"/>
              </w:rPr>
              <w:t xml:space="preserve">
Пригодность </w:t>
            </w:r>
          </w:p>
          <w:bookmarkEnd w:id="565"/>
          <w:p>
            <w:pPr>
              <w:spacing w:after="20"/>
              <w:ind w:left="20"/>
              <w:jc w:val="both"/>
            </w:pPr>
            <w:r>
              <w:rPr>
                <w:rFonts w:ascii="Times New Roman"/>
                <w:b w:val="false"/>
                <w:i w:val="false"/>
                <w:color w:val="000000"/>
                <w:sz w:val="20"/>
              </w:rPr>
              <w:t>
хроматографической системы и чувствительность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66"/>
          <w:p>
            <w:pPr>
              <w:spacing w:after="20"/>
              <w:ind w:left="20"/>
              <w:jc w:val="both"/>
            </w:pPr>
            <w:r>
              <w:rPr>
                <w:rFonts w:ascii="Times New Roman"/>
                <w:b w:val="false"/>
                <w:i w:val="false"/>
                <w:color w:val="000000"/>
                <w:sz w:val="20"/>
              </w:rPr>
              <w:t xml:space="preserve">
1. 2 раза вводят подвижную фазу. </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2. 1 раз вводят раствор для проверки пригодности хроматографической системы.</w:t>
            </w:r>
          </w:p>
          <w:p>
            <w:pPr>
              <w:spacing w:after="20"/>
              <w:ind w:left="20"/>
              <w:jc w:val="both"/>
            </w:pPr>
            <w:r>
              <w:rPr>
                <w:rFonts w:ascii="Times New Roman"/>
                <w:b w:val="false"/>
                <w:i w:val="false"/>
                <w:color w:val="000000"/>
                <w:sz w:val="20"/>
              </w:rPr>
              <w:t>
3. 3 раза вводят раствор для проверки чувствительности.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67"/>
          <w:p>
            <w:pPr>
              <w:spacing w:after="20"/>
              <w:ind w:left="20"/>
              <w:jc w:val="both"/>
            </w:pPr>
            <w:r>
              <w:rPr>
                <w:rFonts w:ascii="Times New Roman"/>
                <w:b w:val="false"/>
                <w:i w:val="false"/>
                <w:color w:val="000000"/>
                <w:sz w:val="20"/>
              </w:rPr>
              <w:t>
1. Все пики на хроматограмме раствора для проверки пригодности хроматографической системы.</w:t>
            </w:r>
          </w:p>
          <w:bookmarkEnd w:id="567"/>
          <w:p>
            <w:pPr>
              <w:spacing w:after="20"/>
              <w:ind w:left="20"/>
              <w:jc w:val="both"/>
            </w:pPr>
            <w:r>
              <w:rPr>
                <w:rFonts w:ascii="Times New Roman"/>
                <w:b w:val="false"/>
                <w:i w:val="false"/>
                <w:color w:val="000000"/>
                <w:sz w:val="20"/>
              </w:rPr>
              <w:t>
2. Все пики на хроматограмме раствора для проверки чувствительности.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приемлемости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68"/>
          <w:p>
            <w:pPr>
              <w:spacing w:after="20"/>
              <w:ind w:left="20"/>
              <w:jc w:val="both"/>
            </w:pPr>
            <w:r>
              <w:rPr>
                <w:rFonts w:ascii="Times New Roman"/>
                <w:b w:val="false"/>
                <w:i w:val="false"/>
                <w:color w:val="000000"/>
                <w:sz w:val="20"/>
              </w:rPr>
              <w:t>
1. Степень разделения пиков раствора для проверки пригодности BMS-232632 (ВЕЩЕСТВО) и BMS-233082 должна быть ≥ 1,2.</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2. Значение уровня "сигнал/шум" для раствора для проверки чувствительности должно быть не менее 3/2.</w:t>
            </w:r>
          </w:p>
          <w:p>
            <w:pPr>
              <w:spacing w:after="20"/>
              <w:ind w:left="20"/>
              <w:jc w:val="both"/>
            </w:pPr>
            <w:r>
              <w:rPr>
                <w:rFonts w:ascii="Times New Roman"/>
                <w:b w:val="false"/>
                <w:i w:val="false"/>
                <w:color w:val="000000"/>
                <w:sz w:val="20"/>
              </w:rPr>
              <w:t>
3. Фактор асимметрии пика на хроматограмме раствора для проверки пригодности хроматографической системы должен быть не более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проведения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69"/>
          <w:p>
            <w:pPr>
              <w:spacing w:after="20"/>
              <w:ind w:left="20"/>
              <w:jc w:val="both"/>
            </w:pPr>
            <w:r>
              <w:rPr>
                <w:rFonts w:ascii="Times New Roman"/>
                <w:b w:val="false"/>
                <w:i w:val="false"/>
                <w:color w:val="000000"/>
                <w:sz w:val="20"/>
              </w:rPr>
              <w:t>
1. Следуют схеме согласно таблице раздела 8.2 настоящего протокола.</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 раза вводят подвижную фазу.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Готовят не менее 3 испытуемых растворов для каждой из 3 серий (3 раствора на серию, всего 9 растворов). 1 раз вводят все растворы.</w:t>
            </w:r>
          </w:p>
          <w:p>
            <w:pPr>
              <w:spacing w:after="20"/>
              <w:ind w:left="20"/>
              <w:jc w:val="both"/>
            </w:pPr>
            <w:r>
              <w:rPr>
                <w:rFonts w:ascii="Times New Roman"/>
                <w:b w:val="false"/>
                <w:i w:val="false"/>
                <w:color w:val="000000"/>
                <w:sz w:val="20"/>
              </w:rPr>
              <w:t>
4. Повторяют это испытание еще 2 раза (согласно таблице раздела 8.2 настоящего протокола), используя свежеприготовленный раствор стандартного образца, подвижную фазу и растворитель для каждого повтора.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результатов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70"/>
          <w:p>
            <w:pPr>
              <w:spacing w:after="20"/>
              <w:ind w:left="20"/>
              <w:jc w:val="both"/>
            </w:pPr>
            <w:r>
              <w:rPr>
                <w:rFonts w:ascii="Times New Roman"/>
                <w:b w:val="false"/>
                <w:i w:val="false"/>
                <w:color w:val="000000"/>
                <w:sz w:val="20"/>
              </w:rPr>
              <w:t>
1. Оценивают все пики раствора для проверки пригодности хроматографической системы.</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Оценивают пики BMS-232632 ("ВЕЩЕСТВО") и примесей после всех введений.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Рассчитывают содержание примесей согласно методике. </w:t>
            </w:r>
          </w:p>
          <w:p>
            <w:pPr>
              <w:spacing w:after="20"/>
              <w:ind w:left="20"/>
              <w:jc w:val="both"/>
            </w:pPr>
            <w:r>
              <w:rPr>
                <w:rFonts w:ascii="Times New Roman"/>
                <w:b w:val="false"/>
                <w:i w:val="false"/>
                <w:color w:val="000000"/>
                <w:sz w:val="20"/>
              </w:rPr>
              <w:t>
4. Фиксируют результаты определения содержания отдельных примесей и суммы примесей согласно методике.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приемлемости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71"/>
          <w:p>
            <w:pPr>
              <w:spacing w:after="20"/>
              <w:ind w:left="20"/>
              <w:jc w:val="both"/>
            </w:pPr>
            <w:r>
              <w:rPr>
                <w:rFonts w:ascii="Times New Roman"/>
                <w:b w:val="false"/>
                <w:i w:val="false"/>
                <w:color w:val="000000"/>
                <w:sz w:val="20"/>
              </w:rPr>
              <w:t>
1. Для значений отдельных примесей &lt; 0,15 % отклонения от данных передающей стороны должны быть в пределах 0,04 % (абсолютное значение).</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2. Для значений отдельных примесей ≥ 0,15 % отклонения от данных передающей стороны должны быть в пределах 30 % (относительное значение).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значений определения суммы примесей &lt; 2,0 % отклонения от данных передающей стороны должны быть в пределах 0,3 % (абсолютное значение).</w:t>
            </w:r>
          </w:p>
          <w:p>
            <w:pPr>
              <w:spacing w:after="20"/>
              <w:ind w:left="20"/>
              <w:jc w:val="both"/>
            </w:pPr>
            <w:r>
              <w:rPr>
                <w:rFonts w:ascii="Times New Roman"/>
                <w:b w:val="false"/>
                <w:i w:val="false"/>
                <w:color w:val="000000"/>
                <w:sz w:val="20"/>
              </w:rPr>
              <w:t>
4. Для значений определения суммы примесей ≥ 2,0 % отклонения от данных передающей стороны должны быть в пределах 0,5 % (абсолютное значение).</w:t>
            </w:r>
          </w:p>
        </w:tc>
      </w:tr>
    </w:tbl>
    <w:p>
      <w:pPr>
        <w:spacing w:after="0"/>
        <w:ind w:left="0"/>
        <w:jc w:val="left"/>
      </w:pPr>
      <w:r>
        <w:br/>
      </w:r>
      <w:r>
        <w:rPr>
          <w:rFonts w:ascii="Times New Roman"/>
          <w:b w:val="false"/>
          <w:i w:val="false"/>
          <w:color w:val="000000"/>
          <w:sz w:val="28"/>
        </w:rPr>
        <w:t>
</w:t>
      </w:r>
    </w:p>
    <w:bookmarkStart w:name="z646" w:id="572"/>
    <w:p>
      <w:pPr>
        <w:spacing w:after="0"/>
        <w:ind w:left="0"/>
        <w:jc w:val="both"/>
      </w:pPr>
      <w:r>
        <w:rPr>
          <w:rFonts w:ascii="Times New Roman"/>
          <w:b w:val="false"/>
          <w:i w:val="false"/>
          <w:color w:val="000000"/>
          <w:sz w:val="28"/>
        </w:rPr>
        <w:t xml:space="preserve">
      10. Изменения аналитических методик в рамках трансфера аналитических методик. </w:t>
      </w:r>
    </w:p>
    <w:bookmarkEnd w:id="572"/>
    <w:bookmarkStart w:name="z647" w:id="573"/>
    <w:p>
      <w:pPr>
        <w:spacing w:after="0"/>
        <w:ind w:left="0"/>
        <w:jc w:val="both"/>
      </w:pPr>
      <w:r>
        <w:rPr>
          <w:rFonts w:ascii="Times New Roman"/>
          <w:b w:val="false"/>
          <w:i w:val="false"/>
          <w:color w:val="000000"/>
          <w:sz w:val="28"/>
        </w:rPr>
        <w:t>
      В рамках трансфера аналитических методик, все изменения в аналитических методиках должны быть проведены через внутреннюю процедуру управления изменениями передающей стороны и в обязательном порядке письменно согласовываться с принимающей стороной.</w:t>
      </w:r>
    </w:p>
    <w:bookmarkEnd w:id="573"/>
    <w:bookmarkStart w:name="z648" w:id="574"/>
    <w:p>
      <w:pPr>
        <w:spacing w:after="0"/>
        <w:ind w:left="0"/>
        <w:jc w:val="both"/>
      </w:pPr>
      <w:r>
        <w:rPr>
          <w:rFonts w:ascii="Times New Roman"/>
          <w:b w:val="false"/>
          <w:i w:val="false"/>
          <w:color w:val="000000"/>
          <w:sz w:val="28"/>
        </w:rPr>
        <w:t xml:space="preserve">
      11. Действия при получении результатов, не соответствующих критериям приемлемости. </w:t>
      </w:r>
    </w:p>
    <w:bookmarkEnd w:id="574"/>
    <w:bookmarkStart w:name="z649" w:id="575"/>
    <w:p>
      <w:pPr>
        <w:spacing w:after="0"/>
        <w:ind w:left="0"/>
        <w:jc w:val="both"/>
      </w:pPr>
      <w:r>
        <w:rPr>
          <w:rFonts w:ascii="Times New Roman"/>
          <w:b w:val="false"/>
          <w:i w:val="false"/>
          <w:color w:val="000000"/>
          <w:sz w:val="28"/>
        </w:rPr>
        <w:t xml:space="preserve">
      11.1. В случае получения результатов, не соответствующих критериям приемлемости проводится расследование данного отклонения в соответствии с процедурой "Порядок расследования результатов, имеющих отклонения от спецификаций (OOS)". </w:t>
      </w:r>
    </w:p>
    <w:bookmarkEnd w:id="575"/>
    <w:bookmarkStart w:name="z650" w:id="576"/>
    <w:p>
      <w:pPr>
        <w:spacing w:after="0"/>
        <w:ind w:left="0"/>
        <w:jc w:val="both"/>
      </w:pPr>
      <w:r>
        <w:rPr>
          <w:rFonts w:ascii="Times New Roman"/>
          <w:b w:val="false"/>
          <w:i w:val="false"/>
          <w:color w:val="000000"/>
          <w:sz w:val="28"/>
        </w:rPr>
        <w:t>
      12. Приложение.</w:t>
      </w:r>
    </w:p>
    <w:bookmarkEnd w:id="576"/>
    <w:bookmarkStart w:name="z651" w:id="577"/>
    <w:p>
      <w:pPr>
        <w:spacing w:after="0"/>
        <w:ind w:left="0"/>
        <w:jc w:val="both"/>
      </w:pPr>
      <w:r>
        <w:rPr>
          <w:rFonts w:ascii="Times New Roman"/>
          <w:b w:val="false"/>
          <w:i w:val="false"/>
          <w:color w:val="000000"/>
          <w:sz w:val="28"/>
        </w:rPr>
        <w:t>
      Документация (включая представленную информацию по результатам, формы используемых отчетов)</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6 </w:t>
            </w:r>
            <w:r>
              <w:br/>
            </w:r>
            <w:r>
              <w:rPr>
                <w:rFonts w:ascii="Times New Roman"/>
                <w:b w:val="false"/>
                <w:i w:val="false"/>
                <w:color w:val="000000"/>
                <w:sz w:val="20"/>
              </w:rPr>
              <w:t>к Руководству по трансферу</w:t>
            </w:r>
            <w:r>
              <w:br/>
            </w:r>
            <w:r>
              <w:rPr>
                <w:rFonts w:ascii="Times New Roman"/>
                <w:b w:val="false"/>
                <w:i w:val="false"/>
                <w:color w:val="000000"/>
                <w:sz w:val="20"/>
              </w:rPr>
              <w:t>технологий и (или) аналитических методик</w:t>
            </w:r>
            <w:r>
              <w:br/>
            </w:r>
            <w:r>
              <w:rPr>
                <w:rFonts w:ascii="Times New Roman"/>
                <w:b w:val="false"/>
                <w:i w:val="false"/>
                <w:color w:val="000000"/>
                <w:sz w:val="20"/>
              </w:rPr>
              <w:t>при производстве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4" w:id="578"/>
    <w:p>
      <w:pPr>
        <w:spacing w:after="0"/>
        <w:ind w:left="0"/>
        <w:jc w:val="left"/>
      </w:pPr>
      <w:r>
        <w:rPr>
          <w:rFonts w:ascii="Times New Roman"/>
          <w:b/>
          <w:i w:val="false"/>
          <w:color w:val="000000"/>
        </w:rPr>
        <w:t xml:space="preserve"> ЭКСПЕРИМЕНТАЛЬНЫЙ ПЛАН</w:t>
      </w:r>
      <w:r>
        <w:br/>
      </w:r>
      <w:r>
        <w:rPr>
          <w:rFonts w:ascii="Times New Roman"/>
          <w:b/>
          <w:i w:val="false"/>
          <w:color w:val="000000"/>
        </w:rPr>
        <w:t>проведения лабораторных испытаний при трансфере аналитических методик (с критериями приемлемости трансфера аналитических методик)</w:t>
      </w:r>
    </w:p>
    <w:bookmarkEnd w:id="578"/>
    <w:bookmarkStart w:name="z655" w:id="579"/>
    <w:p>
      <w:pPr>
        <w:spacing w:after="0"/>
        <w:ind w:left="0"/>
        <w:jc w:val="both"/>
      </w:pPr>
      <w:r>
        <w:rPr>
          <w:rFonts w:ascii="Times New Roman"/>
          <w:b w:val="false"/>
          <w:i w:val="false"/>
          <w:color w:val="000000"/>
          <w:sz w:val="28"/>
        </w:rPr>
        <w:t>
      Представленные ниже количественные показатели и критерии приемлемости являются примером. Фактические значения количественных показателей и критериев приемлемости следует обосновывать в отчете о трансфере аналитических методик.</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показателя или методики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анализа и оценки при трансфере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повторений испытаний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проведения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приемлемости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 акцентируется на приготовлении образца, оборудовании, интерпретации данных. Возможно совмещение с трансфером методики количественного определения </w:t>
            </w:r>
          </w:p>
          <w:p>
            <w:pPr>
              <w:spacing w:after="20"/>
              <w:ind w:left="20"/>
              <w:jc w:val="both"/>
            </w:pPr>
            <w:r>
              <w:rPr>
                <w:rFonts w:ascii="Times New Roman"/>
                <w:b w:val="false"/>
                <w:i w:val="false"/>
                <w:color w:val="000000"/>
                <w:sz w:val="20"/>
              </w:rPr>
              <w:t>(если применимо)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 определения достаточно для демонстрации эквивалентности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Количественное определение (активность)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80"/>
          <w:p>
            <w:pPr>
              <w:spacing w:after="20"/>
              <w:ind w:left="20"/>
              <w:jc w:val="both"/>
            </w:pPr>
            <w:r>
              <w:rPr>
                <w:rFonts w:ascii="Times New Roman"/>
                <w:b w:val="false"/>
                <w:i w:val="false"/>
                <w:color w:val="000000"/>
                <w:sz w:val="20"/>
              </w:rPr>
              <w:t xml:space="preserve">
Неспецифическое количественное определение не должно использоваться для испытания стабильности. </w:t>
            </w:r>
          </w:p>
          <w:bookmarkEnd w:id="580"/>
          <w:p>
            <w:pPr>
              <w:spacing w:after="20"/>
              <w:ind w:left="20"/>
              <w:jc w:val="both"/>
            </w:pPr>
            <w:r>
              <w:rPr>
                <w:rFonts w:ascii="Times New Roman"/>
                <w:b w:val="false"/>
                <w:i w:val="false"/>
                <w:color w:val="000000"/>
                <w:sz w:val="20"/>
              </w:rPr>
              <w:t>
Возможно применить брекетинг для нескольких дозировок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каждой площадки: 2 аналитика × 3 серии × 3 повторности</w:t>
            </w:r>
          </w:p>
          <w:p>
            <w:pPr>
              <w:spacing w:after="20"/>
              <w:ind w:left="20"/>
              <w:jc w:val="both"/>
            </w:pPr>
            <w:r>
              <w:rPr>
                <w:rFonts w:ascii="Times New Roman"/>
                <w:b w:val="false"/>
                <w:i w:val="false"/>
                <w:color w:val="000000"/>
                <w:sz w:val="20"/>
              </w:rPr>
              <w:t>(18 испытаний на каждую площадку)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комплекты приборов и колонок.</w:t>
            </w:r>
          </w:p>
          <w:p>
            <w:pPr>
              <w:spacing w:after="20"/>
              <w:ind w:left="20"/>
              <w:jc w:val="both"/>
            </w:pPr>
            <w:r>
              <w:rPr>
                <w:rFonts w:ascii="Times New Roman"/>
                <w:b w:val="false"/>
                <w:i w:val="false"/>
                <w:color w:val="000000"/>
                <w:sz w:val="20"/>
              </w:rPr>
              <w:t>Независимое приготовление растворов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среднего значения и вариабельности (изменчивости)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Разница значений </w:t>
            </w:r>
          </w:p>
          <w:p>
            <w:pPr>
              <w:spacing w:after="20"/>
              <w:ind w:left="20"/>
              <w:jc w:val="both"/>
            </w:pPr>
            <w:r>
              <w:rPr>
                <w:rFonts w:ascii="Times New Roman"/>
                <w:b w:val="false"/>
                <w:i w:val="false"/>
                <w:color w:val="000000"/>
                <w:sz w:val="20"/>
              </w:rPr>
              <w:t>2-х односторонних</w:t>
            </w:r>
          </w:p>
          <w:p>
            <w:pPr>
              <w:spacing w:after="20"/>
              <w:ind w:left="20"/>
              <w:jc w:val="both"/>
            </w:pPr>
            <w:r>
              <w:rPr>
                <w:rFonts w:ascii="Times New Roman"/>
                <w:b w:val="false"/>
                <w:i w:val="false"/>
                <w:color w:val="000000"/>
                <w:sz w:val="20"/>
              </w:rPr>
              <w:t>t-тестов между площадками ≤ 2 %, 95 % доверительный интервал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Однородность дозированных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метод эквивалентен методу количественного определения, обычно нет необходимости в отдельном трансфере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каждой площадки: </w:t>
            </w:r>
          </w:p>
          <w:p>
            <w:pPr>
              <w:spacing w:after="20"/>
              <w:ind w:left="20"/>
              <w:jc w:val="both"/>
            </w:pPr>
            <w:r>
              <w:rPr>
                <w:rFonts w:ascii="Times New Roman"/>
                <w:b w:val="false"/>
                <w:i w:val="false"/>
                <w:color w:val="000000"/>
                <w:sz w:val="20"/>
              </w:rPr>
              <w:t xml:space="preserve">2 аналитика × 1 серия </w:t>
            </w:r>
          </w:p>
          <w:p>
            <w:pPr>
              <w:spacing w:after="20"/>
              <w:ind w:left="20"/>
              <w:jc w:val="both"/>
            </w:pPr>
            <w:r>
              <w:rPr>
                <w:rFonts w:ascii="Times New Roman"/>
                <w:b w:val="false"/>
                <w:i w:val="false"/>
                <w:color w:val="000000"/>
                <w:sz w:val="20"/>
              </w:rPr>
              <w:t>(2 испытания на площадку)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комплекты приборов и колонок.</w:t>
            </w:r>
          </w:p>
          <w:p>
            <w:pPr>
              <w:spacing w:after="20"/>
              <w:ind w:left="20"/>
              <w:jc w:val="both"/>
            </w:pPr>
            <w:r>
              <w:rPr>
                <w:rFonts w:ascii="Times New Roman"/>
                <w:b w:val="false"/>
                <w:i w:val="false"/>
                <w:color w:val="000000"/>
                <w:sz w:val="20"/>
              </w:rPr>
              <w:t>Независимое приготовление растворов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Среднее значение на площадке принимающей стороны находится </w:t>
            </w:r>
          </w:p>
          <w:p>
            <w:pPr>
              <w:spacing w:after="20"/>
              <w:ind w:left="20"/>
              <w:jc w:val="both"/>
            </w:pPr>
            <w:r>
              <w:rPr>
                <w:rFonts w:ascii="Times New Roman"/>
                <w:b w:val="false"/>
                <w:i w:val="false"/>
                <w:color w:val="000000"/>
                <w:sz w:val="20"/>
              </w:rPr>
              <w:t xml:space="preserve">в пределах ± 3 % </w:t>
            </w:r>
          </w:p>
          <w:p>
            <w:pPr>
              <w:spacing w:after="20"/>
              <w:ind w:left="20"/>
              <w:jc w:val="both"/>
            </w:pPr>
            <w:r>
              <w:rPr>
                <w:rFonts w:ascii="Times New Roman"/>
                <w:b w:val="false"/>
                <w:i w:val="false"/>
                <w:color w:val="000000"/>
                <w:sz w:val="20"/>
              </w:rPr>
              <w:t>от среднего значения на площадке передающей стороны; сравнение относительного стандартного отклонения (RSD)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Разница значений </w:t>
            </w:r>
          </w:p>
          <w:p>
            <w:pPr>
              <w:spacing w:after="20"/>
              <w:ind w:left="20"/>
              <w:jc w:val="both"/>
            </w:pPr>
            <w:r>
              <w:rPr>
                <w:rFonts w:ascii="Times New Roman"/>
                <w:b w:val="false"/>
                <w:i w:val="false"/>
                <w:color w:val="000000"/>
                <w:sz w:val="20"/>
              </w:rPr>
              <w:t>2-х односторонних</w:t>
            </w:r>
          </w:p>
          <w:p>
            <w:pPr>
              <w:spacing w:after="20"/>
              <w:ind w:left="20"/>
              <w:jc w:val="both"/>
            </w:pPr>
            <w:r>
              <w:rPr>
                <w:rFonts w:ascii="Times New Roman"/>
                <w:b w:val="false"/>
                <w:i w:val="false"/>
                <w:color w:val="000000"/>
                <w:sz w:val="20"/>
              </w:rPr>
              <w:t>t-тестов между площадками ≤ 3 %, 95 % доверительный интервал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 применить</w:t>
            </w:r>
          </w:p>
          <w:p>
            <w:pPr>
              <w:spacing w:after="20"/>
              <w:ind w:left="20"/>
              <w:jc w:val="both"/>
            </w:pPr>
            <w:r>
              <w:rPr>
                <w:rFonts w:ascii="Times New Roman"/>
                <w:b w:val="false"/>
                <w:i w:val="false"/>
                <w:color w:val="000000"/>
                <w:sz w:val="20"/>
              </w:rPr>
              <w:t>брекетинг для нескольких дозировок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единиц лекарственной формы (12 единиц лекарственной формы, если это не является рутинным методом </w:t>
            </w:r>
          </w:p>
          <w:p>
            <w:pPr>
              <w:spacing w:after="20"/>
              <w:ind w:left="20"/>
              <w:jc w:val="both"/>
            </w:pPr>
            <w:r>
              <w:rPr>
                <w:rFonts w:ascii="Times New Roman"/>
                <w:b w:val="false"/>
                <w:i w:val="false"/>
                <w:color w:val="000000"/>
                <w:sz w:val="20"/>
              </w:rPr>
              <w:t>на площадке принимающей стороны, а также для препаратов с пролонгированным высвобождением)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Среднее значение на площадке принимающей стороны находится в пределах ± 5 % </w:t>
            </w:r>
          </w:p>
          <w:p>
            <w:pPr>
              <w:spacing w:after="20"/>
              <w:ind w:left="20"/>
              <w:jc w:val="both"/>
            </w:pPr>
            <w:r>
              <w:rPr>
                <w:rFonts w:ascii="Times New Roman"/>
                <w:b w:val="false"/>
                <w:i w:val="false"/>
                <w:color w:val="000000"/>
                <w:sz w:val="20"/>
              </w:rPr>
              <w:t>от среднего значения на площадке передающей стороны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профилей растворения (например,</w:t>
            </w:r>
          </w:p>
          <w:p>
            <w:pPr>
              <w:spacing w:after="20"/>
              <w:ind w:left="20"/>
              <w:jc w:val="both"/>
            </w:pPr>
            <w:r>
              <w:rPr>
                <w:rFonts w:ascii="Times New Roman"/>
                <w:b w:val="false"/>
                <w:i w:val="false"/>
                <w:color w:val="000000"/>
                <w:sz w:val="20"/>
              </w:rPr>
              <w:t>по значению критерия f</w:t>
            </w:r>
            <w:r>
              <w:rPr>
                <w:rFonts w:ascii="Times New Roman"/>
                <w:b w:val="false"/>
                <w:i w:val="false"/>
                <w:color w:val="000000"/>
                <w:vertAlign w:val="subscript"/>
              </w:rPr>
              <w:t>2</w:t>
            </w:r>
            <w:r>
              <w:rPr>
                <w:rFonts w:ascii="Times New Roman"/>
                <w:b w:val="false"/>
                <w:i w:val="false"/>
                <w:color w:val="000000"/>
                <w:sz w:val="20"/>
              </w:rPr>
              <w:t xml:space="preserve">) или сравнение показателей растворения во временных точках определения значения Q </w:t>
            </w:r>
          </w:p>
          <w:p>
            <w:pPr>
              <w:spacing w:after="20"/>
              <w:ind w:left="20"/>
              <w:jc w:val="both"/>
            </w:pPr>
            <w:r>
              <w:rPr>
                <w:rFonts w:ascii="Times New Roman"/>
                <w:b w:val="false"/>
                <w:i w:val="false"/>
                <w:color w:val="000000"/>
                <w:sz w:val="20"/>
              </w:rPr>
              <w:t>(как для количественного определения)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Извлекаемость</w:t>
            </w:r>
          </w:p>
          <w:p>
            <w:pPr>
              <w:spacing w:after="20"/>
              <w:ind w:left="20"/>
              <w:jc w:val="both"/>
            </w:pPr>
            <w:r>
              <w:rPr>
                <w:rFonts w:ascii="Times New Roman"/>
                <w:b w:val="false"/>
                <w:i w:val="false"/>
                <w:color w:val="000000"/>
                <w:sz w:val="20"/>
              </w:rPr>
              <w:t xml:space="preserve">(выявление остаточных количеств на поверхности – для методик очистки)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того,</w:t>
            </w:r>
          </w:p>
          <w:p>
            <w:pPr>
              <w:spacing w:after="20"/>
              <w:ind w:left="20"/>
              <w:jc w:val="both"/>
            </w:pPr>
            <w:r>
              <w:rPr>
                <w:rFonts w:ascii="Times New Roman"/>
                <w:b w:val="false"/>
                <w:i w:val="false"/>
                <w:color w:val="000000"/>
                <w:sz w:val="20"/>
              </w:rPr>
              <w:t xml:space="preserve">что для отбора проб используется один и тот же материал (тампоны, свабы) на площадке передающей стороны и площадке принимающей стороны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Использовать модельные образцы с содержанием определяемого вещества, находящимся в пределах трехкратного стандартного отклонения, характеризующего прецизионность методики или </w:t>
            </w:r>
          </w:p>
          <w:p>
            <w:pPr>
              <w:spacing w:after="20"/>
              <w:ind w:left="20"/>
              <w:jc w:val="both"/>
            </w:pPr>
            <w:r>
              <w:rPr>
                <w:rFonts w:ascii="Times New Roman"/>
                <w:b w:val="false"/>
                <w:i w:val="false"/>
                <w:color w:val="000000"/>
                <w:sz w:val="20"/>
              </w:rPr>
              <w:t xml:space="preserve">в пределах ± 10 % </w:t>
            </w:r>
          </w:p>
          <w:p>
            <w:pPr>
              <w:spacing w:after="20"/>
              <w:ind w:left="20"/>
              <w:jc w:val="both"/>
            </w:pPr>
            <w:r>
              <w:rPr>
                <w:rFonts w:ascii="Times New Roman"/>
                <w:b w:val="false"/>
                <w:i w:val="false"/>
                <w:color w:val="000000"/>
                <w:sz w:val="20"/>
              </w:rPr>
              <w:t>от спецификации</w:t>
            </w:r>
          </w:p>
          <w:p>
            <w:pPr>
              <w:spacing w:after="20"/>
              <w:ind w:left="20"/>
              <w:jc w:val="both"/>
            </w:pPr>
            <w:r>
              <w:rPr>
                <w:rFonts w:ascii="Times New Roman"/>
                <w:b w:val="false"/>
                <w:i w:val="false"/>
                <w:color w:val="000000"/>
                <w:sz w:val="20"/>
              </w:rPr>
              <w:t>(в зависимости</w:t>
            </w:r>
          </w:p>
          <w:p>
            <w:pPr>
              <w:spacing w:after="20"/>
              <w:ind w:left="20"/>
              <w:jc w:val="both"/>
            </w:pPr>
            <w:r>
              <w:rPr>
                <w:rFonts w:ascii="Times New Roman"/>
                <w:b w:val="false"/>
                <w:i w:val="false"/>
                <w:color w:val="000000"/>
                <w:sz w:val="20"/>
              </w:rPr>
              <w:t xml:space="preserve">от того, какое из значений является большим)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 модельных образцов с содержанием определяемого вещества выше пределов спецификации должны быть выявлены.</w:t>
            </w:r>
          </w:p>
          <w:p>
            <w:pPr>
              <w:spacing w:after="20"/>
              <w:ind w:left="20"/>
              <w:jc w:val="both"/>
            </w:pPr>
            <w:r>
              <w:rPr>
                <w:rFonts w:ascii="Times New Roman"/>
                <w:b w:val="false"/>
                <w:i w:val="false"/>
                <w:color w:val="000000"/>
                <w:sz w:val="20"/>
              </w:rPr>
              <w:t>10 % модельных образцов с содержанием определяемого вещества выше пределов спецификации могут быть не выявлены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Микробиологические испытания (качественные и количественные)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81"/>
          <w:p>
            <w:pPr>
              <w:spacing w:after="20"/>
              <w:ind w:left="20"/>
              <w:jc w:val="both"/>
            </w:pPr>
            <w:r>
              <w:rPr>
                <w:rFonts w:ascii="Times New Roman"/>
                <w:b w:val="false"/>
                <w:i w:val="false"/>
                <w:color w:val="000000"/>
                <w:sz w:val="20"/>
              </w:rPr>
              <w:t>
Исполнение общего протокола валидации на площадке: обоснование,</w:t>
            </w:r>
          </w:p>
          <w:bookmarkEnd w:id="581"/>
          <w:p>
            <w:pPr>
              <w:spacing w:after="20"/>
              <w:ind w:left="20"/>
              <w:jc w:val="both"/>
            </w:pPr>
            <w:r>
              <w:rPr>
                <w:rFonts w:ascii="Times New Roman"/>
                <w:b w:val="false"/>
                <w:i w:val="false"/>
                <w:color w:val="000000"/>
                <w:sz w:val="20"/>
              </w:rPr>
              <w:t xml:space="preserve">метод идентификации, валидационные параметры, </w:t>
            </w:r>
          </w:p>
          <w:p>
            <w:pPr>
              <w:spacing w:after="20"/>
              <w:ind w:left="20"/>
              <w:jc w:val="both"/>
            </w:pPr>
            <w:r>
              <w:rPr>
                <w:rFonts w:ascii="Times New Roman"/>
                <w:b w:val="false"/>
                <w:i w:val="false"/>
                <w:color w:val="000000"/>
                <w:sz w:val="20"/>
              </w:rPr>
              <w:t xml:space="preserve">краткий обзор сведений, </w:t>
            </w:r>
          </w:p>
          <w:p>
            <w:pPr>
              <w:spacing w:after="20"/>
              <w:ind w:left="20"/>
              <w:jc w:val="both"/>
            </w:pPr>
            <w:r>
              <w:rPr>
                <w:rFonts w:ascii="Times New Roman"/>
                <w:b w:val="false"/>
                <w:i w:val="false"/>
                <w:color w:val="000000"/>
                <w:sz w:val="20"/>
              </w:rPr>
              <w:t xml:space="preserve">критерии приемлемости, методы сбора, сопоставления и анализа сведений, работа с результатами, выходящими за пределы спецификации, требования в отношении последующих мероприятий. </w:t>
            </w:r>
          </w:p>
          <w:p>
            <w:pPr>
              <w:spacing w:after="20"/>
              <w:ind w:left="20"/>
              <w:jc w:val="both"/>
            </w:pPr>
            <w:r>
              <w:rPr>
                <w:rFonts w:ascii="Times New Roman"/>
                <w:b w:val="false"/>
                <w:i w:val="false"/>
                <w:color w:val="000000"/>
                <w:sz w:val="20"/>
              </w:rPr>
              <w:t>Использование одних и тех же материалов, методик, способа приготовления посевного материала (инокулята)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Валидация </w:t>
            </w:r>
          </w:p>
          <w:p>
            <w:pPr>
              <w:spacing w:after="20"/>
              <w:ind w:left="20"/>
              <w:jc w:val="both"/>
            </w:pPr>
            <w:r>
              <w:rPr>
                <w:rFonts w:ascii="Times New Roman"/>
                <w:b w:val="false"/>
                <w:i w:val="false"/>
                <w:color w:val="000000"/>
                <w:sz w:val="20"/>
              </w:rPr>
              <w:t>в 3 повторностях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различных серий препарата,</w:t>
            </w:r>
          </w:p>
          <w:p>
            <w:pPr>
              <w:spacing w:after="20"/>
              <w:ind w:left="20"/>
              <w:jc w:val="both"/>
            </w:pPr>
            <w:r>
              <w:rPr>
                <w:rFonts w:ascii="Times New Roman"/>
                <w:b w:val="false"/>
                <w:i w:val="false"/>
                <w:color w:val="000000"/>
                <w:sz w:val="20"/>
              </w:rPr>
              <w:t xml:space="preserve">3 различных партий питательных сред для каждой валидационной повторности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критерий:</w:t>
            </w:r>
          </w:p>
          <w:p>
            <w:pPr>
              <w:spacing w:after="20"/>
              <w:ind w:left="20"/>
              <w:jc w:val="both"/>
            </w:pPr>
            <w:r>
              <w:rPr>
                <w:rFonts w:ascii="Times New Roman"/>
                <w:b w:val="false"/>
                <w:i w:val="false"/>
                <w:color w:val="000000"/>
                <w:sz w:val="20"/>
              </w:rPr>
              <w:t xml:space="preserve">способность </w:t>
            </w:r>
          </w:p>
          <w:p>
            <w:pPr>
              <w:spacing w:after="20"/>
              <w:ind w:left="20"/>
              <w:jc w:val="both"/>
            </w:pPr>
            <w:r>
              <w:rPr>
                <w:rFonts w:ascii="Times New Roman"/>
                <w:b w:val="false"/>
                <w:i w:val="false"/>
                <w:color w:val="000000"/>
                <w:sz w:val="20"/>
              </w:rPr>
              <w:t>выявить микроорганизмы;</w:t>
            </w:r>
          </w:p>
          <w:p>
            <w:pPr>
              <w:spacing w:after="20"/>
              <w:ind w:left="20"/>
              <w:jc w:val="both"/>
            </w:pPr>
            <w:r>
              <w:rPr>
                <w:rFonts w:ascii="Times New Roman"/>
                <w:b w:val="false"/>
                <w:i w:val="false"/>
                <w:color w:val="000000"/>
                <w:sz w:val="20"/>
              </w:rPr>
              <w:t>количественный критерий: количество выявленных микроорганизмов должно соответствовать критериям приемлемости, указанным в протоколе трансфера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 деградация (порча) лекарственного средства, остаточные растворители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82"/>
          <w:p>
            <w:pPr>
              <w:spacing w:after="20"/>
              <w:ind w:left="20"/>
              <w:jc w:val="both"/>
            </w:pPr>
            <w:r>
              <w:rPr>
                <w:rFonts w:ascii="Times New Roman"/>
                <w:b w:val="false"/>
                <w:i w:val="false"/>
                <w:color w:val="000000"/>
                <w:sz w:val="20"/>
              </w:rPr>
              <w:t>
Подтверждение коэффициентов отклика для расчетов в отношении пика лекарственного средства</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 предела количественного определения на площадке принимающей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Сравнение хроматограмм</w:t>
            </w:r>
          </w:p>
          <w:p>
            <w:pPr>
              <w:spacing w:after="20"/>
              <w:ind w:left="20"/>
              <w:jc w:val="both"/>
            </w:pPr>
            <w:r>
              <w:rPr>
                <w:rFonts w:ascii="Times New Roman"/>
                <w:b w:val="false"/>
                <w:i w:val="false"/>
                <w:color w:val="000000"/>
                <w:sz w:val="20"/>
              </w:rPr>
              <w:t>
Сравнение правильности и прецизионности для экспериментов с использованием модельных смесей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каждой площадки:</w:t>
            </w:r>
          </w:p>
          <w:p>
            <w:pPr>
              <w:spacing w:after="20"/>
              <w:ind w:left="20"/>
              <w:jc w:val="both"/>
            </w:pPr>
            <w:r>
              <w:rPr>
                <w:rFonts w:ascii="Times New Roman"/>
                <w:b w:val="false"/>
                <w:i w:val="false"/>
                <w:color w:val="000000"/>
                <w:sz w:val="20"/>
              </w:rPr>
              <w:t>2 аналитика × 3 серии</w:t>
            </w:r>
          </w:p>
          <w:p>
            <w:pPr>
              <w:spacing w:after="20"/>
              <w:ind w:left="20"/>
              <w:jc w:val="both"/>
            </w:pPr>
            <w:r>
              <w:rPr>
                <w:rFonts w:ascii="Times New Roman"/>
                <w:b w:val="false"/>
                <w:i w:val="false"/>
                <w:color w:val="000000"/>
                <w:sz w:val="20"/>
              </w:rPr>
              <w:t xml:space="preserve">× 2 повторности </w:t>
            </w:r>
          </w:p>
          <w:p>
            <w:pPr>
              <w:spacing w:after="20"/>
              <w:ind w:left="20"/>
              <w:jc w:val="both"/>
            </w:pPr>
            <w:r>
              <w:rPr>
                <w:rFonts w:ascii="Times New Roman"/>
                <w:b w:val="false"/>
                <w:i w:val="false"/>
                <w:color w:val="000000"/>
                <w:sz w:val="20"/>
              </w:rPr>
              <w:t>(3 повторности, если тест проводится вместе с количественным определением)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83"/>
          <w:p>
            <w:pPr>
              <w:spacing w:after="20"/>
              <w:ind w:left="20"/>
              <w:jc w:val="both"/>
            </w:pPr>
            <w:r>
              <w:rPr>
                <w:rFonts w:ascii="Times New Roman"/>
                <w:b w:val="false"/>
                <w:i w:val="false"/>
                <w:color w:val="000000"/>
                <w:sz w:val="20"/>
              </w:rPr>
              <w:t>
Разные дни, разные наборы приборов и колонок;</w:t>
            </w:r>
          </w:p>
          <w:bookmarkEnd w:id="583"/>
          <w:p>
            <w:pPr>
              <w:spacing w:after="20"/>
              <w:ind w:left="20"/>
              <w:jc w:val="both"/>
            </w:pPr>
            <w:r>
              <w:rPr>
                <w:rFonts w:ascii="Times New Roman"/>
                <w:b w:val="false"/>
                <w:i w:val="false"/>
                <w:color w:val="000000"/>
                <w:sz w:val="20"/>
              </w:rPr>
              <w:t xml:space="preserve">использование образцов с одинаковым сроком годности и однородностью, </w:t>
            </w:r>
          </w:p>
          <w:p>
            <w:pPr>
              <w:spacing w:after="20"/>
              <w:ind w:left="20"/>
              <w:jc w:val="both"/>
            </w:pPr>
            <w:r>
              <w:rPr>
                <w:rFonts w:ascii="Times New Roman"/>
                <w:b w:val="false"/>
                <w:i w:val="false"/>
                <w:color w:val="000000"/>
                <w:sz w:val="20"/>
              </w:rPr>
              <w:t>в одинаковой упаковке и условиями хранения;</w:t>
            </w:r>
          </w:p>
          <w:p>
            <w:pPr>
              <w:spacing w:after="20"/>
              <w:ind w:left="20"/>
              <w:jc w:val="both"/>
            </w:pPr>
            <w:r>
              <w:rPr>
                <w:rFonts w:ascii="Times New Roman"/>
                <w:b w:val="false"/>
                <w:i w:val="false"/>
                <w:color w:val="000000"/>
                <w:sz w:val="20"/>
              </w:rPr>
              <w:t xml:space="preserve">
использование образцов с добавками </w:t>
            </w:r>
          </w:p>
          <w:p>
            <w:pPr>
              <w:spacing w:after="20"/>
              <w:ind w:left="20"/>
              <w:jc w:val="both"/>
            </w:pPr>
            <w:r>
              <w:rPr>
                <w:rFonts w:ascii="Times New Roman"/>
                <w:b w:val="false"/>
                <w:i w:val="false"/>
                <w:color w:val="000000"/>
                <w:sz w:val="20"/>
              </w:rPr>
              <w:t>(если необходимо)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низких концентраций) значения на площадке принимающей стороны должны находиться в пределах ± 10 % от значений на площадке передающей стороны, или среднее значение площадки принимающей стороны должно находиться в пределах ± 0,05 % от среднего значения на площадке передающей стороны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84"/>
          <w:p>
            <w:pPr>
              <w:spacing w:after="20"/>
              <w:ind w:left="20"/>
              <w:jc w:val="both"/>
            </w:pPr>
            <w:r>
              <w:rPr>
                <w:rFonts w:ascii="Times New Roman"/>
                <w:b w:val="false"/>
                <w:i w:val="false"/>
                <w:color w:val="000000"/>
                <w:sz w:val="20"/>
              </w:rPr>
              <w:t>
Разница значений 2-х односторонних</w:t>
            </w:r>
          </w:p>
          <w:bookmarkEnd w:id="584"/>
          <w:p>
            <w:pPr>
              <w:spacing w:after="20"/>
              <w:ind w:left="20"/>
              <w:jc w:val="both"/>
            </w:pPr>
            <w:r>
              <w:rPr>
                <w:rFonts w:ascii="Times New Roman"/>
                <w:b w:val="false"/>
                <w:i w:val="false"/>
                <w:color w:val="000000"/>
                <w:sz w:val="20"/>
              </w:rPr>
              <w:t>t-тестов (для умеренно высоких концентраций) между площадками</w:t>
            </w:r>
          </w:p>
          <w:p>
            <w:pPr>
              <w:spacing w:after="20"/>
              <w:ind w:left="20"/>
              <w:jc w:val="both"/>
            </w:pPr>
            <w:r>
              <w:rPr>
                <w:rFonts w:ascii="Times New Roman"/>
                <w:b w:val="false"/>
                <w:i w:val="false"/>
                <w:color w:val="000000"/>
                <w:sz w:val="20"/>
              </w:rPr>
              <w:t>≤ 5 %, 95 % доверительный интервал</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Руководству по трансферу технологий</w:t>
            </w:r>
            <w:r>
              <w:br/>
            </w:r>
            <w:r>
              <w:rPr>
                <w:rFonts w:ascii="Times New Roman"/>
                <w:b w:val="false"/>
                <w:i w:val="false"/>
                <w:color w:val="000000"/>
                <w:sz w:val="20"/>
              </w:rPr>
              <w:t>и (или) аналитических методик при производстве</w:t>
            </w:r>
            <w:r>
              <w:br/>
            </w:r>
            <w:r>
              <w:rPr>
                <w:rFonts w:ascii="Times New Roman"/>
                <w:b w:val="false"/>
                <w:i w:val="false"/>
                <w:color w:val="000000"/>
                <w:sz w:val="20"/>
              </w:rPr>
              <w:t>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665" w:id="585"/>
    <w:p>
      <w:pPr>
        <w:spacing w:after="0"/>
        <w:ind w:left="0"/>
        <w:jc w:val="left"/>
      </w:pPr>
      <w:r>
        <w:rPr>
          <w:rFonts w:ascii="Times New Roman"/>
          <w:b/>
          <w:i w:val="false"/>
          <w:color w:val="000000"/>
        </w:rPr>
        <w:t xml:space="preserve"> ОТЧЕТ</w:t>
      </w:r>
      <w:r>
        <w:br/>
      </w:r>
      <w:r>
        <w:rPr>
          <w:rFonts w:ascii="Times New Roman"/>
          <w:b/>
          <w:i w:val="false"/>
          <w:color w:val="000000"/>
        </w:rPr>
        <w:t>о трансфере аналитических методик</w:t>
      </w:r>
    </w:p>
    <w:bookmarkEnd w:id="585"/>
    <w:bookmarkStart w:name="z666" w:id="586"/>
    <w:p>
      <w:pPr>
        <w:spacing w:after="0"/>
        <w:ind w:left="0"/>
        <w:jc w:val="both"/>
      </w:pPr>
      <w:r>
        <w:rPr>
          <w:rFonts w:ascii="Times New Roman"/>
          <w:b w:val="false"/>
          <w:i w:val="false"/>
          <w:color w:val="000000"/>
          <w:sz w:val="28"/>
        </w:rPr>
        <w:t>
      Номер документа:</w:t>
      </w:r>
    </w:p>
    <w:bookmarkEnd w:id="586"/>
    <w:bookmarkStart w:name="z667" w:id="587"/>
    <w:p>
      <w:pPr>
        <w:spacing w:after="0"/>
        <w:ind w:left="0"/>
        <w:jc w:val="both"/>
      </w:pPr>
      <w:r>
        <w:rPr>
          <w:rFonts w:ascii="Times New Roman"/>
          <w:b w:val="false"/>
          <w:i w:val="false"/>
          <w:color w:val="000000"/>
          <w:sz w:val="28"/>
        </w:rPr>
        <w:t>
      Область (границы и (или) объект трансфера): (привести название лекарственного средства (стадии процесса, методики)</w:t>
      </w:r>
    </w:p>
    <w:bookmarkEnd w:id="587"/>
    <w:bookmarkStart w:name="z668" w:id="588"/>
    <w:p>
      <w:pPr>
        <w:spacing w:after="0"/>
        <w:ind w:left="0"/>
        <w:jc w:val="both"/>
      </w:pPr>
      <w:r>
        <w:rPr>
          <w:rFonts w:ascii="Times New Roman"/>
          <w:b w:val="false"/>
          <w:i w:val="false"/>
          <w:color w:val="000000"/>
          <w:sz w:val="28"/>
        </w:rPr>
        <w:t>
      1. Цель</w:t>
      </w:r>
    </w:p>
    <w:bookmarkEnd w:id="588"/>
    <w:bookmarkStart w:name="z669" w:id="589"/>
    <w:p>
      <w:pPr>
        <w:spacing w:after="0"/>
        <w:ind w:left="0"/>
        <w:jc w:val="both"/>
      </w:pPr>
      <w:r>
        <w:rPr>
          <w:rFonts w:ascii="Times New Roman"/>
          <w:b w:val="false"/>
          <w:i w:val="false"/>
          <w:color w:val="000000"/>
          <w:sz w:val="28"/>
        </w:rPr>
        <w:t>
      2. Краткий обзор</w:t>
      </w:r>
    </w:p>
    <w:bookmarkEnd w:id="589"/>
    <w:bookmarkStart w:name="z670" w:id="590"/>
    <w:p>
      <w:pPr>
        <w:spacing w:after="0"/>
        <w:ind w:left="0"/>
        <w:jc w:val="both"/>
      </w:pPr>
      <w:r>
        <w:rPr>
          <w:rFonts w:ascii="Times New Roman"/>
          <w:b w:val="false"/>
          <w:i w:val="false"/>
          <w:color w:val="000000"/>
          <w:sz w:val="28"/>
        </w:rPr>
        <w:t xml:space="preserve">
      В разделе приводятся результаты трансфера аналитических методик (следует перечислить методики с указанием ссылок на фармакопею или нормативный документ по качеству лекарственного препарата или стандартные операционные процедуры). </w:t>
      </w:r>
    </w:p>
    <w:bookmarkEnd w:id="590"/>
    <w:bookmarkStart w:name="z671" w:id="591"/>
    <w:p>
      <w:pPr>
        <w:spacing w:after="0"/>
        <w:ind w:left="0"/>
        <w:jc w:val="both"/>
      </w:pPr>
      <w:r>
        <w:rPr>
          <w:rFonts w:ascii="Times New Roman"/>
          <w:b w:val="false"/>
          <w:i w:val="false"/>
          <w:color w:val="000000"/>
          <w:sz w:val="28"/>
        </w:rPr>
        <w:t>
      Лаборатория отдела контроля качества (указать наименование принимающей стороны) выполнила требования по испытаниям, определенным в протоколе трансфера аналитических методик (указать номер протокола).</w:t>
      </w:r>
    </w:p>
    <w:bookmarkEnd w:id="591"/>
    <w:bookmarkStart w:name="z672" w:id="592"/>
    <w:p>
      <w:pPr>
        <w:spacing w:after="0"/>
        <w:ind w:left="0"/>
        <w:jc w:val="both"/>
      </w:pPr>
      <w:r>
        <w:rPr>
          <w:rFonts w:ascii="Times New Roman"/>
          <w:b w:val="false"/>
          <w:i w:val="false"/>
          <w:color w:val="000000"/>
          <w:sz w:val="28"/>
        </w:rPr>
        <w:t>
      Результаты были проверены лабораторией отдела контроля качества (указать наименование передающей стороны).</w:t>
      </w:r>
    </w:p>
    <w:bookmarkEnd w:id="592"/>
    <w:bookmarkStart w:name="z673" w:id="593"/>
    <w:p>
      <w:pPr>
        <w:spacing w:after="0"/>
        <w:ind w:left="0"/>
        <w:jc w:val="both"/>
      </w:pPr>
      <w:r>
        <w:rPr>
          <w:rFonts w:ascii="Times New Roman"/>
          <w:b w:val="false"/>
          <w:i w:val="false"/>
          <w:color w:val="000000"/>
          <w:sz w:val="28"/>
        </w:rPr>
        <w:t>
      Все критерии приемлемости, определенные в плане трансфера аналитических методик для аналитических методик, перечисленных в таблице 1, были удовлетворены, а результаты, полученные в лаборатории отдела контроля качества (указать наименование принимающей стороны), указывают на то, что лаборатория отдела контроля качества (указать наименование принимающей стороны) получает квалификацию на осуществление аналитических методик, перечисленных в таблице 1.</w:t>
      </w:r>
    </w:p>
    <w:bookmarkEnd w:id="593"/>
    <w:bookmarkStart w:name="z674" w:id="594"/>
    <w:p>
      <w:pPr>
        <w:spacing w:after="0"/>
        <w:ind w:left="0"/>
        <w:jc w:val="both"/>
      </w:pPr>
      <w:r>
        <w:rPr>
          <w:rFonts w:ascii="Times New Roman"/>
          <w:b w:val="false"/>
          <w:i w:val="false"/>
          <w:color w:val="000000"/>
          <w:sz w:val="28"/>
        </w:rPr>
        <w:t>
      В приведенных ниже таблицах представлен пример их заполнения.</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аналитической методики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документа (стандартной операционной процедуры, методики испытаний) передающей стороны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методики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документа (стандартной операционной процедуры, методики испытаний) принимающей стороны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95"/>
          <w:p>
            <w:pPr>
              <w:spacing w:after="20"/>
              <w:ind w:left="20"/>
              <w:jc w:val="both"/>
            </w:pPr>
            <w:r>
              <w:rPr>
                <w:rFonts w:ascii="Times New Roman"/>
                <w:b w:val="false"/>
                <w:i w:val="false"/>
                <w:color w:val="000000"/>
                <w:sz w:val="20"/>
              </w:rPr>
              <w:t>
СОП (МИ)</w:t>
            </w:r>
          </w:p>
          <w:bookmarkEnd w:id="595"/>
          <w:p>
            <w:pPr>
              <w:spacing w:after="20"/>
              <w:ind w:left="20"/>
              <w:jc w:val="both"/>
            </w:pP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СОП (МИ)</w:t>
            </w:r>
          </w:p>
          <w:p>
            <w:pPr>
              <w:spacing w:after="20"/>
              <w:ind w:left="20"/>
              <w:jc w:val="both"/>
            </w:pPr>
            <w:r>
              <w:rPr>
                <w:rFonts w:ascii="Times New Roman"/>
                <w:b w:val="false"/>
                <w:i w:val="false"/>
                <w:color w:val="000000"/>
                <w:sz w:val="20"/>
              </w:rPr>
              <w:t>ХХХ-ХХ от дд/мм/гггг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96"/>
          <w:p>
            <w:pPr>
              <w:spacing w:after="20"/>
              <w:ind w:left="20"/>
              <w:jc w:val="both"/>
            </w:pPr>
            <w:r>
              <w:rPr>
                <w:rFonts w:ascii="Times New Roman"/>
                <w:b w:val="false"/>
                <w:i w:val="false"/>
                <w:color w:val="000000"/>
                <w:sz w:val="20"/>
              </w:rPr>
              <w:t>
СОП (МИ)</w:t>
            </w:r>
          </w:p>
          <w:bookmarkEnd w:id="596"/>
          <w:p>
            <w:pPr>
              <w:spacing w:after="20"/>
              <w:ind w:left="20"/>
              <w:jc w:val="both"/>
            </w:pP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СОП (МИ)</w:t>
            </w:r>
          </w:p>
          <w:p>
            <w:pPr>
              <w:spacing w:after="20"/>
              <w:ind w:left="20"/>
              <w:jc w:val="both"/>
            </w:pPr>
            <w:r>
              <w:rPr>
                <w:rFonts w:ascii="Times New Roman"/>
                <w:b w:val="false"/>
                <w:i w:val="false"/>
                <w:color w:val="000000"/>
                <w:sz w:val="20"/>
              </w:rPr>
              <w:t>ХХХ-ХХ от дд/мм/гггг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97"/>
          <w:p>
            <w:pPr>
              <w:spacing w:after="20"/>
              <w:ind w:left="20"/>
              <w:jc w:val="both"/>
            </w:pPr>
            <w:r>
              <w:rPr>
                <w:rFonts w:ascii="Times New Roman"/>
                <w:b w:val="false"/>
                <w:i w:val="false"/>
                <w:color w:val="000000"/>
                <w:sz w:val="20"/>
              </w:rPr>
              <w:t>
СОП (МИ)</w:t>
            </w:r>
          </w:p>
          <w:bookmarkEnd w:id="597"/>
          <w:p>
            <w:pPr>
              <w:spacing w:after="20"/>
              <w:ind w:left="20"/>
              <w:jc w:val="both"/>
            </w:pP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СОП (МИ)</w:t>
            </w:r>
          </w:p>
          <w:p>
            <w:pPr>
              <w:spacing w:after="20"/>
              <w:ind w:left="20"/>
              <w:jc w:val="both"/>
            </w:pPr>
            <w:r>
              <w:rPr>
                <w:rFonts w:ascii="Times New Roman"/>
                <w:b w:val="false"/>
                <w:i w:val="false"/>
                <w:color w:val="000000"/>
                <w:sz w:val="20"/>
              </w:rPr>
              <w:t>ХХХ-ХХ от дд/мм/гггг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98"/>
          <w:p>
            <w:pPr>
              <w:spacing w:after="20"/>
              <w:ind w:left="20"/>
              <w:jc w:val="both"/>
            </w:pPr>
            <w:r>
              <w:rPr>
                <w:rFonts w:ascii="Times New Roman"/>
                <w:b w:val="false"/>
                <w:i w:val="false"/>
                <w:color w:val="000000"/>
                <w:sz w:val="20"/>
              </w:rPr>
              <w:t>
СОП (МИ)</w:t>
            </w:r>
          </w:p>
          <w:bookmarkEnd w:id="598"/>
          <w:p>
            <w:pPr>
              <w:spacing w:after="20"/>
              <w:ind w:left="20"/>
              <w:jc w:val="both"/>
            </w:pP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СОП (МИ)</w:t>
            </w:r>
          </w:p>
          <w:p>
            <w:pPr>
              <w:spacing w:after="20"/>
              <w:ind w:left="20"/>
              <w:jc w:val="both"/>
            </w:pPr>
            <w:r>
              <w:rPr>
                <w:rFonts w:ascii="Times New Roman"/>
                <w:b w:val="false"/>
                <w:i w:val="false"/>
                <w:color w:val="000000"/>
                <w:sz w:val="20"/>
              </w:rPr>
              <w:t>ХХХ-ХХ от дд/мм/гггг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количественное определение (ВЭЖХ)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99"/>
          <w:p>
            <w:pPr>
              <w:spacing w:after="20"/>
              <w:ind w:left="20"/>
              <w:jc w:val="both"/>
            </w:pPr>
            <w:r>
              <w:rPr>
                <w:rFonts w:ascii="Times New Roman"/>
                <w:b w:val="false"/>
                <w:i w:val="false"/>
                <w:color w:val="000000"/>
                <w:sz w:val="20"/>
              </w:rPr>
              <w:t>
СОП (МИ)</w:t>
            </w:r>
          </w:p>
          <w:bookmarkEnd w:id="599"/>
          <w:p>
            <w:pPr>
              <w:spacing w:after="20"/>
              <w:ind w:left="20"/>
              <w:jc w:val="both"/>
            </w:pP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w:t>
            </w:r>
            <w:r>
              <w:rPr>
                <w:rFonts w:ascii="Times New Roman"/>
                <w:b w:val="false"/>
                <w:i w:val="false"/>
                <w:color w:val="000000"/>
                <w:sz w:val="20"/>
              </w:rPr>
              <w:t>СОП (МИ)</w:t>
            </w:r>
          </w:p>
          <w:p>
            <w:pPr>
              <w:spacing w:after="20"/>
              <w:ind w:left="20"/>
              <w:jc w:val="both"/>
            </w:pP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для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00"/>
          <w:p>
            <w:pPr>
              <w:spacing w:after="20"/>
              <w:ind w:left="20"/>
              <w:jc w:val="both"/>
            </w:pPr>
            <w:r>
              <w:rPr>
                <w:rFonts w:ascii="Times New Roman"/>
                <w:b w:val="false"/>
                <w:i w:val="false"/>
                <w:color w:val="000000"/>
                <w:sz w:val="20"/>
              </w:rPr>
              <w:t>
СОП (МИ)</w:t>
            </w:r>
          </w:p>
          <w:bookmarkEnd w:id="600"/>
          <w:p>
            <w:pPr>
              <w:spacing w:after="20"/>
              <w:ind w:left="20"/>
              <w:jc w:val="both"/>
            </w:pP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w:t>
            </w:r>
            <w:r>
              <w:rPr>
                <w:rFonts w:ascii="Times New Roman"/>
                <w:b w:val="false"/>
                <w:i w:val="false"/>
                <w:color w:val="000000"/>
                <w:sz w:val="20"/>
              </w:rPr>
              <w:t>СОП (МИ)</w:t>
            </w:r>
          </w:p>
          <w:p>
            <w:pPr>
              <w:spacing w:after="20"/>
              <w:ind w:left="20"/>
              <w:jc w:val="both"/>
            </w:pP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w:t>
            </w:r>
          </w:p>
        </w:tc>
      </w:tr>
    </w:tbl>
    <w:bookmarkStart w:name="z684" w:id="601"/>
    <w:p>
      <w:pPr>
        <w:spacing w:after="0"/>
        <w:ind w:left="0"/>
        <w:jc w:val="both"/>
      </w:pPr>
      <w:r>
        <w:rPr>
          <w:rFonts w:ascii="Times New Roman"/>
          <w:b w:val="false"/>
          <w:i w:val="false"/>
          <w:color w:val="000000"/>
          <w:sz w:val="28"/>
        </w:rPr>
        <w:t>
      Аналитические методики, перечисленные в таблице 2, были исключены в силу того, что они носят общий характер или у принимающей стороны имеется опыт выполнения данных аналитических методик:</w:t>
      </w:r>
    </w:p>
    <w:bookmarkEnd w:id="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документа (стандартной операционной процедуры, методики испытаний) передающей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документа (стандартной операционной процедуры, методики испытаний) принимающей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02"/>
          <w:p>
            <w:pPr>
              <w:spacing w:after="20"/>
              <w:ind w:left="20"/>
              <w:jc w:val="both"/>
            </w:pPr>
            <w:r>
              <w:rPr>
                <w:rFonts w:ascii="Times New Roman"/>
                <w:b w:val="false"/>
                <w:i w:val="false"/>
                <w:color w:val="000000"/>
                <w:sz w:val="20"/>
              </w:rPr>
              <w:t>
Подлинность</w:t>
            </w:r>
          </w:p>
          <w:bookmarkEnd w:id="602"/>
          <w:p>
            <w:pPr>
              <w:spacing w:after="20"/>
              <w:ind w:left="20"/>
              <w:jc w:val="both"/>
            </w:pPr>
            <w:r>
              <w:rPr>
                <w:rFonts w:ascii="Times New Roman"/>
                <w:b w:val="false"/>
                <w:i w:val="false"/>
                <w:color w:val="000000"/>
                <w:sz w:val="20"/>
              </w:rPr>
              <w:t>
(ИК спектроскопия)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03"/>
          <w:p>
            <w:pPr>
              <w:spacing w:after="20"/>
              <w:ind w:left="20"/>
              <w:jc w:val="both"/>
            </w:pPr>
            <w:r>
              <w:rPr>
                <w:rFonts w:ascii="Times New Roman"/>
                <w:b w:val="false"/>
                <w:i w:val="false"/>
                <w:color w:val="000000"/>
                <w:sz w:val="20"/>
              </w:rPr>
              <w:t>
СОП (МИ)</w:t>
            </w:r>
          </w:p>
          <w:bookmarkEnd w:id="603"/>
          <w:p>
            <w:pPr>
              <w:spacing w:after="20"/>
              <w:ind w:left="20"/>
              <w:jc w:val="both"/>
            </w:pP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СОП (МИ)</w:t>
            </w:r>
          </w:p>
          <w:p>
            <w:pPr>
              <w:spacing w:after="20"/>
              <w:ind w:left="20"/>
              <w:jc w:val="both"/>
            </w:pPr>
            <w:r>
              <w:rPr>
                <w:rFonts w:ascii="Times New Roman"/>
                <w:b w:val="false"/>
                <w:i w:val="false"/>
                <w:color w:val="000000"/>
                <w:sz w:val="20"/>
              </w:rPr>
              <w:t>ХХХ-ХХ от дд/мм/гггг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04"/>
          <w:p>
            <w:pPr>
              <w:spacing w:after="20"/>
              <w:ind w:left="20"/>
              <w:jc w:val="both"/>
            </w:pPr>
            <w:r>
              <w:rPr>
                <w:rFonts w:ascii="Times New Roman"/>
                <w:b w:val="false"/>
                <w:i w:val="false"/>
                <w:color w:val="000000"/>
                <w:sz w:val="20"/>
              </w:rPr>
              <w:t>
СОП (МИ)</w:t>
            </w:r>
          </w:p>
          <w:bookmarkEnd w:id="604"/>
          <w:p>
            <w:pPr>
              <w:spacing w:after="20"/>
              <w:ind w:left="20"/>
              <w:jc w:val="both"/>
            </w:pP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СОП (МИ)</w:t>
            </w:r>
          </w:p>
          <w:p>
            <w:pPr>
              <w:spacing w:after="20"/>
              <w:ind w:left="20"/>
              <w:jc w:val="both"/>
            </w:pPr>
            <w:r>
              <w:rPr>
                <w:rFonts w:ascii="Times New Roman"/>
                <w:b w:val="false"/>
                <w:i w:val="false"/>
                <w:color w:val="000000"/>
                <w:sz w:val="20"/>
              </w:rPr>
              <w:t>ХХХ-ХХ от дд/мм/гггг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05"/>
          <w:p>
            <w:pPr>
              <w:spacing w:after="20"/>
              <w:ind w:left="20"/>
              <w:jc w:val="both"/>
            </w:pPr>
            <w:r>
              <w:rPr>
                <w:rFonts w:ascii="Times New Roman"/>
                <w:b w:val="false"/>
                <w:i w:val="false"/>
                <w:color w:val="000000"/>
                <w:sz w:val="20"/>
              </w:rPr>
              <w:t>
СОП (МИ)</w:t>
            </w:r>
          </w:p>
          <w:bookmarkEnd w:id="605"/>
          <w:p>
            <w:pPr>
              <w:spacing w:after="20"/>
              <w:ind w:left="20"/>
              <w:jc w:val="both"/>
            </w:pP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СОП (МИ)</w:t>
            </w:r>
          </w:p>
          <w:p>
            <w:pPr>
              <w:spacing w:after="20"/>
              <w:ind w:left="20"/>
              <w:jc w:val="both"/>
            </w:pPr>
            <w:r>
              <w:rPr>
                <w:rFonts w:ascii="Times New Roman"/>
                <w:b w:val="false"/>
                <w:i w:val="false"/>
                <w:color w:val="000000"/>
                <w:sz w:val="20"/>
              </w:rPr>
              <w:t>ХХХ-ХХ от дд/мм/гггг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06"/>
          <w:p>
            <w:pPr>
              <w:spacing w:after="20"/>
              <w:ind w:left="20"/>
              <w:jc w:val="both"/>
            </w:pPr>
            <w:r>
              <w:rPr>
                <w:rFonts w:ascii="Times New Roman"/>
                <w:b w:val="false"/>
                <w:i w:val="false"/>
                <w:color w:val="000000"/>
                <w:sz w:val="20"/>
              </w:rPr>
              <w:t>
СОП (МИ)</w:t>
            </w:r>
          </w:p>
          <w:bookmarkEnd w:id="606"/>
          <w:p>
            <w:pPr>
              <w:spacing w:after="20"/>
              <w:ind w:left="20"/>
              <w:jc w:val="both"/>
            </w:pPr>
            <w:r>
              <w:rPr>
                <w:rFonts w:ascii="Times New Roman"/>
                <w:b w:val="false"/>
                <w:i w:val="false"/>
                <w:color w:val="000000"/>
                <w:sz w:val="20"/>
              </w:rPr>
              <w:t>ХХХ-ХХ от дд/мм/гггг</w:t>
            </w:r>
          </w:p>
          <w:p>
            <w:pPr>
              <w:spacing w:after="20"/>
              <w:ind w:left="20"/>
              <w:jc w:val="both"/>
            </w:pPr>
            <w:r>
              <w:rPr>
                <w:rFonts w:ascii="Times New Roman"/>
                <w:b w:val="false"/>
                <w:i w:val="false"/>
                <w:color w:val="000000"/>
                <w:sz w:val="20"/>
              </w:rPr>
              <w:t>
СОП (МИ)</w:t>
            </w:r>
          </w:p>
          <w:p>
            <w:pPr>
              <w:spacing w:after="20"/>
              <w:ind w:left="20"/>
              <w:jc w:val="both"/>
            </w:pPr>
            <w:r>
              <w:rPr>
                <w:rFonts w:ascii="Times New Roman"/>
                <w:b w:val="false"/>
                <w:i w:val="false"/>
                <w:color w:val="000000"/>
                <w:sz w:val="20"/>
              </w:rPr>
              <w:t>ХХХ-ХХ от дд/мм/гггг</w:t>
            </w:r>
          </w:p>
        </w:tc>
      </w:tr>
    </w:tbl>
    <w:bookmarkStart w:name="z691" w:id="607"/>
    <w:p>
      <w:pPr>
        <w:spacing w:after="0"/>
        <w:ind w:left="0"/>
        <w:jc w:val="both"/>
      </w:pPr>
      <w:r>
        <w:rPr>
          <w:rFonts w:ascii="Times New Roman"/>
          <w:b w:val="false"/>
          <w:i w:val="false"/>
          <w:color w:val="000000"/>
          <w:sz w:val="28"/>
        </w:rPr>
        <w:t>
      Рабочая группа передающей стороны: (перечислить фамилии, должности, ответственность (с указанием разработчиков, лиц, осуществлявших согласование документов по трансферу аналитических методик, лиц, осуществлявших утверждение документов по трансферу аналитических методик, даты разработки, согласования и утверждения документов)).</w:t>
      </w:r>
    </w:p>
    <w:bookmarkEnd w:id="607"/>
    <w:bookmarkStart w:name="z692" w:id="608"/>
    <w:p>
      <w:pPr>
        <w:spacing w:after="0"/>
        <w:ind w:left="0"/>
        <w:jc w:val="both"/>
      </w:pPr>
      <w:r>
        <w:rPr>
          <w:rFonts w:ascii="Times New Roman"/>
          <w:b w:val="false"/>
          <w:i w:val="false"/>
          <w:color w:val="000000"/>
          <w:sz w:val="28"/>
        </w:rPr>
        <w:t>
      Рабочая группа принимающей стороны: (перечислить фамилии, должности, ответственность (с указанием лиц, осуществлявших согласование документов по трансферу аналитических методик, лиц, осуществлявших утверждение документов по трансферу аналитических методик, даты согласования и утверждения документов)).</w:t>
      </w:r>
    </w:p>
    <w:bookmarkEnd w:id="608"/>
    <w:bookmarkStart w:name="z693" w:id="609"/>
    <w:p>
      <w:pPr>
        <w:spacing w:after="0"/>
        <w:ind w:left="0"/>
        <w:jc w:val="left"/>
      </w:pPr>
      <w:r>
        <w:rPr>
          <w:rFonts w:ascii="Times New Roman"/>
          <w:b/>
          <w:i w:val="false"/>
          <w:color w:val="000000"/>
        </w:rPr>
        <w:t xml:space="preserve"> Результаты и обсуждение (раздел оформляется с нового листа)</w:t>
      </w:r>
    </w:p>
    <w:bookmarkEnd w:id="609"/>
    <w:bookmarkStart w:name="z694" w:id="610"/>
    <w:p>
      <w:pPr>
        <w:spacing w:after="0"/>
        <w:ind w:left="0"/>
        <w:jc w:val="both"/>
      </w:pPr>
      <w:r>
        <w:rPr>
          <w:rFonts w:ascii="Times New Roman"/>
          <w:b w:val="false"/>
          <w:i w:val="false"/>
          <w:color w:val="000000"/>
          <w:sz w:val="28"/>
        </w:rPr>
        <w:t>
      Аналитическая методика: (указать название).</w:t>
      </w:r>
    </w:p>
    <w:bookmarkEnd w:id="610"/>
    <w:bookmarkStart w:name="z695" w:id="611"/>
    <w:p>
      <w:pPr>
        <w:spacing w:after="0"/>
        <w:ind w:left="0"/>
        <w:jc w:val="both"/>
      </w:pPr>
      <w:r>
        <w:rPr>
          <w:rFonts w:ascii="Times New Roman"/>
          <w:b w:val="false"/>
          <w:i w:val="false"/>
          <w:color w:val="000000"/>
          <w:sz w:val="28"/>
        </w:rPr>
        <w:t>
      Процедура: (привести описание процедуры).</w:t>
      </w:r>
    </w:p>
    <w:bookmarkEnd w:id="611"/>
    <w:bookmarkStart w:name="z696" w:id="612"/>
    <w:p>
      <w:pPr>
        <w:spacing w:after="0"/>
        <w:ind w:left="0"/>
        <w:jc w:val="both"/>
      </w:pPr>
      <w:r>
        <w:rPr>
          <w:rFonts w:ascii="Times New Roman"/>
          <w:b w:val="false"/>
          <w:i w:val="false"/>
          <w:color w:val="000000"/>
          <w:sz w:val="28"/>
        </w:rPr>
        <w:t>
      Одним (указывается количество специалистов) специалистом принимающей стороны было проведено испытание препарата (указывается наименование) серий (указываются номера серий), согласно аналитическим методикам (кратко описывается методика, например, приводится номер стандартной операционной процедуры, методики испытаний).</w:t>
      </w:r>
    </w:p>
    <w:bookmarkEnd w:id="612"/>
    <w:bookmarkStart w:name="z697" w:id="613"/>
    <w:p>
      <w:pPr>
        <w:spacing w:after="0"/>
        <w:ind w:left="0"/>
        <w:jc w:val="both"/>
      </w:pPr>
      <w:r>
        <w:rPr>
          <w:rFonts w:ascii="Times New Roman"/>
          <w:b w:val="false"/>
          <w:i w:val="false"/>
          <w:color w:val="000000"/>
          <w:sz w:val="28"/>
        </w:rPr>
        <w:t xml:space="preserve">
      Результаты: </w:t>
      </w:r>
    </w:p>
    <w:bookmarkEnd w:id="613"/>
    <w:bookmarkStart w:name="z698" w:id="614"/>
    <w:p>
      <w:pPr>
        <w:spacing w:after="0"/>
        <w:ind w:left="0"/>
        <w:jc w:val="both"/>
      </w:pPr>
      <w:r>
        <w:rPr>
          <w:rFonts w:ascii="Times New Roman"/>
          <w:b w:val="false"/>
          <w:i w:val="false"/>
          <w:color w:val="000000"/>
          <w:sz w:val="28"/>
        </w:rPr>
        <w:t>
      (Могут быть приведены в виде таблицы с указанием оценки пригодности системы, параметров, результатов принимающей и передающей сторон, критериев приемлемости)</w:t>
      </w:r>
    </w:p>
    <w:bookmarkEnd w:id="614"/>
    <w:bookmarkStart w:name="z699" w:id="615"/>
    <w:p>
      <w:pPr>
        <w:spacing w:after="0"/>
        <w:ind w:left="0"/>
        <w:jc w:val="both"/>
      </w:pPr>
      <w:r>
        <w:rPr>
          <w:rFonts w:ascii="Times New Roman"/>
          <w:b w:val="false"/>
          <w:i w:val="false"/>
          <w:color w:val="000000"/>
          <w:sz w:val="28"/>
        </w:rPr>
        <w:t xml:space="preserve">
      Выводы: </w:t>
      </w:r>
    </w:p>
    <w:bookmarkEnd w:id="615"/>
    <w:bookmarkStart w:name="z700" w:id="616"/>
    <w:p>
      <w:pPr>
        <w:spacing w:after="0"/>
        <w:ind w:left="0"/>
        <w:jc w:val="both"/>
      </w:pPr>
      <w:r>
        <w:rPr>
          <w:rFonts w:ascii="Times New Roman"/>
          <w:b w:val="false"/>
          <w:i w:val="false"/>
          <w:color w:val="000000"/>
          <w:sz w:val="28"/>
        </w:rPr>
        <w:t xml:space="preserve">
      Лаборатория отдела контроля качества (указать наименование принимающей стороны) успешно завершила трансфер аналитической методики (указать название методики). </w:t>
      </w:r>
    </w:p>
    <w:bookmarkEnd w:id="616"/>
    <w:bookmarkStart w:name="z701" w:id="617"/>
    <w:p>
      <w:pPr>
        <w:spacing w:after="0"/>
        <w:ind w:left="0"/>
        <w:jc w:val="both"/>
      </w:pPr>
      <w:r>
        <w:rPr>
          <w:rFonts w:ascii="Times New Roman"/>
          <w:b w:val="false"/>
          <w:i w:val="false"/>
          <w:color w:val="000000"/>
          <w:sz w:val="28"/>
        </w:rPr>
        <w:t>
      Все результаты пригодности системы удовлетворяют критериям приемлемости (если применимо) и все аналитические результаты удовлетворяют критериям приемлемости аналитической методики (указать название методики), поэтому лаборатория отдела контроля качества (указать наименование принимающей стороны) получает квалификацию на проведение аналитической методики (указать название методики).</w:t>
      </w:r>
    </w:p>
    <w:bookmarkEnd w:id="617"/>
    <w:bookmarkStart w:name="z702" w:id="618"/>
    <w:p>
      <w:pPr>
        <w:spacing w:after="0"/>
        <w:ind w:left="0"/>
        <w:jc w:val="both"/>
      </w:pPr>
      <w:r>
        <w:rPr>
          <w:rFonts w:ascii="Times New Roman"/>
          <w:b w:val="false"/>
          <w:i w:val="false"/>
          <w:color w:val="000000"/>
          <w:sz w:val="28"/>
        </w:rPr>
        <w:t>
      Далее следует аналогично описать результаты трансфера всех аналитических методик, основанные на оценке критериев приемлемости (в соответствии с приложением № 5 к настоящему Руководству) и в соответствии с таблицей 1.</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