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b6490" w14:textId="f3b64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Концепции создания Евразийского ювелирного экспортного бюро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Совета Евразийской экономической комиссии от 14 июля 2021 года № 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в соответствии с подпунктом 5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92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промышленном сотрудничестве (приложение № 27 к Договору о Евразийском экономическом союзе от 29 мая 2014 года), пунктом 1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продвижению ювелирной продукции государств – членов Евразийского экономического союза на рынки третьих стран, утвержденного распоряжением Евразийского межправительственного совета от 25 октября 2019 г. № 17,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целесообразность создания Евразийского ювелирного экспортного бюро,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инициативы Международного финансового центра "Астана" о размещении Евразийского ювелирного экспортного бюро в Международном финансовом центре "Астана"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 государствам – членам Евразийского экономического союза с даты опубликования настоящей Рекомендации на официальном сайте Евразийского экономического союза: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Руководствоваться Концепцией создания Евразийского ювелирного экспортного бюро согласно приложению.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Поддержать инициативу о размещении Евразийского ювелирного экспортного бюро в Международном финансовом центре "Астана" и оказать необходимую консультационную поддержку в реализации проекта.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Члены Совета Евразийской экономической комиссии: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Жапаров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Рекомендации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г. № 1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КОНЦЕПЦИЯ</w:t>
      </w:r>
      <w:r>
        <w:br/>
      </w:r>
      <w:r>
        <w:rPr>
          <w:rFonts w:ascii="Times New Roman"/>
          <w:b/>
          <w:i w:val="false"/>
          <w:color w:val="000000"/>
        </w:rPr>
        <w:t>создания Евразийского ювелирного экспортного бюро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положения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Концепция разработана в целях реализации пункта 1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продвижению ювелирной продукции государств – членов Евразийского экономического союза на рынки третьих стран, утвержденного распоряжением Евразийского межправительственного совета от 25 октября 2019 г. № 17.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реализации настоящей Концепции могут быть заключены меморандумы.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Концепция носит рекомендательный характер и может быть использована производителями и продавцами ювелирной продукции государств – членов Евразийского экономического союза (далее соответственно – государства-члены, Союз) при разработке учредительных документов Евразийского ювелирного экспортного бюро (далее – Бюро).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Обоснование целесообразности создания Бюро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Ювелирная промышленность государств-членов является одной из отраслей обрабатывающей промышленности Союза, играющей важную роль в том числе в формировании экономического, исторического и культурного имиджа евразийского интеграционного объединения.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мирового рынка ювелирных изделий и часов составляет порядка 350 млрд долларов США, в то время как объем экспорта ювелирных изделий государств-членов составляет порядка 221,1 млн долларов США, или около 0,07 процента от общего объема мировой торговли ювелирными изделиями.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этапе формирования общего ювелирного рынка Союза внутренний взаимный товарооборот находится на скромном уровне и не соответствует потенциалу ювелирной отрасли государств-членов. В цифрах взаимная торговля между государствами-членами составляет приблизительно 76 млн долларов США, в то время как общий объем импорта из третьих стран составляет порядка 407,4 млн долларов США, а экспорт из государств-членов – всего 220 млн долларов США.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темпы снижения объемов экспорта ювелирных изделий государств-членов опережают темпы падения мирового рынка ювелирных изделий. Объем мирового рынка в 2014 – 2019 годах показал совокупное падение на четверть, в то время как экспорт из государств-членов сократился на конец этого периода в 3 раза.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Доли государств-членов в совокупном производстве ювелирной продукции распределились следующим образом: Республика Армения – 6,6 процента, Республика Беларусь – 2,9 процента, Республика Казахстан – 0,1 процента, Кыргызская Республика – 0,1 процента, Российская Федерация – 90,3 процента.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тот факт, что Союз является лидером по добыче алмазов в мире (30 процентов мировой добычи алмазов приходится на Российскую Федерацию), экспорт ювелирных изделий более чем в 50 раз ниже экспорта алмазов и доля Союза на мировом рынке ювелирных изделий незначительна. По оценке экспертов, прибыль от добычи алмазов составляет 15 – 20 процентов, от огранки – около 5 процентов, а доходы от продажи ювелирных изделий составляют не менее 100 процентов себестоимости.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оценкам экспертов, ювелирная отрасль недозагружена на 40 – 50 процентов. В то же время объема внутреннего рынка недостаточно. Стоимость ювелирных изделий является конкурентной на мировом рынке, при этом отсутствие масштабной маркетинговой и торговой кампаний за рубежом приводит к падению конкурентоспособности производителей ювелирных изделий государств-членов как на внутреннем рынке, так и за рубежом.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следствие, происходит снижение налоговых поступлений от предприятий отрасли, а также сокращение рабочих мест.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Ситуация усугубилась в 2020 году в связи с распространением коронавирусной инфекции COVID-19. Это коснулось как внутренних, так и мировых рынков.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раньше мировой рынок ювелирных изделий был достаточно стабильным, то серьезная рецессия мировой экономики в 2020 году вызвала неизбежный спад спроса на ювелирные изделия, в том числе в тех странах, которые составляли значительную долю  структуре мирового потребления, – Китае, США, ОАЭ, странах Европейского союза.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Так, по оценкам японской консалтинговой компании Researchreportsworld, в условиях пандемии коронавирусной инфекции COVID-19 рынок ювелирных изделий и драгоценных камней восстановится и может достичь 226,7 млрд долларов США к 2026 году, в то время как по итогам 2020 года он составляет 201,3 млрд долларов США.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глобальными трендами мировой ювелирной отрасли, которые в ближайшие 5 – 10 лет будут влиять на ее развитие, станут (по исследованиям McKinsey &amp; Company):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интернационализация и консолидация. В настоящее время 10 крупнейших ювелирных компаний занимают всего 12 процентов мирового ювелирного рынка и только 2 (Cartier и Tiffany &amp; Co) входят в рейтинг Interbrand (100 крупнейших глобальных брендов). Остальная часть мирового ювелирного рынка состоит из национальных брендов. Национальные ювелирные бренды смогут стать известными в мировом масштабе в результате консолидации отрасли;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доли брендовой ювелирной продукции. Доля брендовых ювелирных изделий составляет порядка 20 процентов ювелирного рынка. Тенденция укрупнения ювелирных брендов окажет влияние на мелких ювелиров, у которых отсутствуют маркетинг и каналы продвижения. Одним из механизмов выхода на рынки третьих стран может стать продвижение ювелирных изделий через мультибрендовые ювелирные магазины (например, Cadenzza);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электронной торговли. Пандемия коронавирусной инфекции COVID-19 усилила данный тренд. Например, по публичным данным российского интернет-магазина Ozon, объем продаж ювелирных украшений в 2019 году увеличивался примерно на 40 процентов каждый месяц. Национальная ассоциация ювелиров Великобритании сообщает, что к 2025 году реализация ювелирных изделий через мобильные приложения составит 50 процентов от всей электронной коммерции в ювелирной отрасли. При условии упрощения регулирования сферы онлайн-торговли в государствах-членах есть возможность занять новые ниши на мировом рынке;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и прослеживаемость ювелирных изделий на всех этапах движения ювелирных изделий от производства до вывода из оборота. В этих целях в Республике Беларусь и Российской Федерации предусмотрены национальные системы маркировки ювелирных изделий;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кобрендовое продвижение. Такое продвижение предполагает реализацию ювелирных изделий совместно с люксовыми брендами одежды.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проведенного Евразийской экономической комиссией (далее – Комиссия) анализа можно выделить следующие тенденции.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рост мирового потребления в стоимостном выражении экспортеры государств-членов реагируют увеличением физического объема экспортируемой продукции и снижением ее стоимости. Можно сделать вывод об отсутствии у производителей политики в сфере продвижения брендовой продукции дорогого сегмента.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Между тем государства-члены имеют в ювелирной отрасли достаточно высокий экспортный потенциал. Предприятия отрасли конкурентоспособны по ассортименту и качеству продукции в сравнении как с азиатскими, так и с европейскими ювелирными производителями. На производствах государств-членов используются передовые технологии и новейшее оборудование (3D-принтеры, современные цепевязальные автоматы и др.). Дизайнеры ювелирных изделий государств-членов ежегодно занимают призовые места на престижных ювелирных конкурсах.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экспортно ориентированных инициатив бизнеса позволит сформировать устойчивый спрос на ювелирную продукцию государств-членов, повысить загрузку производственных мощностей и нарастить экспорт ювелирной продукции государств-членов.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реализации таких инициатив является основной функцией Бюро.</w:t>
      </w:r>
    </w:p>
    <w:bookmarkEnd w:id="33"/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Цели и задачи Бюро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целью деятельности Бюро является позиционирование ювелирной отрасли Союза на глобальном рынке путем продвижения ювелирной продукции государств-членов, повышения эффективности экспорта на рынки третьих стран.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задачами деятельности Бюро являются: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каналов сбыта ювелирной продукции государств-членов на рынках третьих стран;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конкурентоспособности производителей и продавцов ювелирной продукции государств-членов на мировом рынке;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содействия производителям и продавцам ювелирной продукции государств-членов во взаимодействии с государственными органами государств-членов и международными организациями путем участия в консультативных органах и отраслевых рабочих группах;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продвижение на мировом рынке ювелирной продукции государств-членов;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экспертных предложений по упрощению условий доступа ювелирной продукции государств-членов на рынки третьих стран;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информационное и консультационное сопровождение производителей и продавцов ювелирной продукции (в том числе субъектов малого и среднего бизнеса) государств-членов при продвижении ювелирной продукции на новые рынки сбыта, а также определение приоритетных стран для развития торгового сотрудничества;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положительного имиджа производителей и продавцов ювелирной продукции государств-членов на мировом рынке;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поиск потенциальных потребителей ювелирной продукции государств-членов и заключение с ними контрактов;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предложений по кредитованию производителей ювелирной продукции государств-членов совместно с финансовыми институтами; 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поиск инвесторов для производителей ювелирной продукции государств-членов, в том числе во взаимодействии с Евразийским банком развития, Международным финансовым центром "Астана" и другими институтами развития;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повышению инвестиционной привлекательности ювелирной отрасли государств-членов;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логистической цепи и цепи дистрибуции ювелирной продукции государств-членов на рынках третьих стран;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в урегулировании конфликтов внутри профессионального сообщества путем предоставления переговорной площадки; 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иных согласованных с государствами-членами задач, направленных на развитие ювелирной промышленности и продвижение ювелирной продукции государств-членов на рынки третьих стран.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указанных задач Бюро использует следующие механизмы: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внедрение системы добровольной сертификации Бюро для повышения качества ювелирной продукции государств-членов, продвигаемой на мировом рынке;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мировых тенденций, изменений внешней и внутренней рыночной конъюнктуры, проведение маркетинговых исследований и публикация их результатов;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стратегии, политики и бизнес-плана Бюро по выходу на целевые рынки сбыта;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законодательства государств, являющихся целевыми рынками сбыта, и предоставление информации членам Бюро о возможностях ведения в этих государствах предпринимательской деятельности;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о реализации ювелирной продукции с использованием совместной торговой инфраструктуры государств-членов;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создании совместных дилерских и сервисных сетей, торговых домов и консорциумов;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регистрации и продвижении ювелирной продукции на зарубежных электронных торговых площадках (продвижение интернет-торговли путем заключения соглашений и подписания меморандумов между Бюро и такими площадками, как "Амазон" (США), "Алиэкспресс" (Китай) и др.);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выставочно-ярмарочной и экспозиционной деятельности за рубежом;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конференций и проведение семинаров и встреч с представителями мирового профессионального сообщества в целях выявления новых направлений разработки дизайна и технологий, а также в целях создания площадки для обмена информацией между участниками предпринимательской деятельности в сфере производства ювелирной продукции и торговли ею;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наиболее перспективных инструментов стимулирования экспорта (маркетинговой поддержки, эффективной рекламы и др.) с учетом международного опыта;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получении при экспорте ювелирной продукции государств-членов иностранных сертификатов;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 уполномоченными органами государств-членов и Комиссией по вопросам ведения предпринимательской деятельности в сфере производства ювелирной продукции и торговли ею, участие в разработке меморандумов о сотрудничестве в выставочно-ярмарочной и экспозиционной сфере, в том числе выработка предложений по совершенствованию нормативных правовых актов государств-членов в сфере оборота драгоценных металлов, драгоценных камней и изделий из них; 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консультаций с крупнейшими производителями драгоценных металлов и драгоценных камней по вопросам организации поставок сырья и заключения долгосрочных контрактов;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внедрение системы менеджмента качества для предприятий отрасли, способствующей повышению доверия к производителям и продавцам ювелирной продукции государств-членов;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электронного каталога ювелирной продукции государств-членов;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арбитраж по вопросам возмещения ущерба и обеспечение взаимодействия иностранных покупателей с продавцами, являющимися членами Бюро, в случае возникновения претензий к продукции сертифицированных членов Бюро. </w:t>
      </w:r>
    </w:p>
    <w:bookmarkEnd w:id="67"/>
    <w:p>
      <w:pPr>
        <w:spacing w:after="0"/>
        <w:ind w:left="0"/>
        <w:jc w:val="both"/>
      </w:pPr>
      <w:bookmarkStart w:name="z73" w:id="68"/>
      <w:r>
        <w:rPr>
          <w:rFonts w:ascii="Times New Roman"/>
          <w:b w:val="false"/>
          <w:i w:val="false"/>
          <w:color w:val="000000"/>
          <w:sz w:val="28"/>
        </w:rPr>
        <w:t xml:space="preserve">
      По предложению Бюро государства-члены совместно с Комиссией формируют перечень выставочно-ярмарочных мероприятий на перспективных зарубежных рынках, в отношении которых члены Бюро смогут получить от своего государства-члена поддержку для участия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этих мероприятиях в соответствии с его законодательством. </w:t>
      </w:r>
    </w:p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эффективности деятельности Бюро по решению государств-членов могут корректироваться задачи Бюро, применяться механизмы государственной поддержки.</w:t>
      </w:r>
    </w:p>
    <w:bookmarkEnd w:id="69"/>
    <w:bookmarkStart w:name="z7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Система добровольной сертификации Бюро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качества ювелирной продукции, экспортируемой на рынки третьих стран, Бюро создается система добровольной сертификации. 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добровольной сертификации открыта для участия всех производителей ювелирных изделий государств-членов.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добровольной сертификации может включать в себя механизмы оценки соответствия ювелирных изделий национальным и зарубежным стандартам качества и производства ювелирной продукции.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сертификата Бюро в рамках системы добровольной сертификации предусматривает идентификацию участника ювелирного рынка. Добровольная сертификация предоставляет возможность ювелирному бизнесу государств-членов пользоваться создаваемыми Бюро благоприятными условиями торговли, дистрибьюторской сетью на рынках третьих стран, каналами сбыта в целях усиления брендирования собственной национальной или совместно созданной евразийской ювелирной продукции.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соответствия членов Бюро стандартам и требованиям Бюро проводится в соответствии с внутренними документами, утверждаемыми высшим органом Бюро. </w:t>
      </w:r>
    </w:p>
    <w:bookmarkEnd w:id="75"/>
    <w:bookmarkStart w:name="z8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 Организационно-правовая форма Бюро  и вопросы его взаимодействия с Комиссией и уполномоченными органами государств-членов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Бюро создается на территории одного из государств-членов в форме некоммерческой организации, основанной на добровольном членстве и создаваемой в порядке, предусмотренном законодательством государства пребывания Бюро.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Местонахождение, структура и штатная численность органов управления Бюро закрепляются учредительными документами. 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Бюро открыто для вступления в него новых членов. Членами Бюро могут быть зарегистрированные на территориях государств-членов юридические лица, а также физические лица, зарегистрированные в качестве индивидуальных предпринимателей, осуществляющие свою деятельность в сфере ювелирного производства и продвигающие на рынки третьих стран продукцию, произведенную в государствах-членах.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Бюро осуществляют свою деятельность в соответствии с законодательством государств-членов.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Высшим органом Бюро является общее собрание членов. 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собрание членов проводится не реже 2 раз в год.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исполнительным органом, определенным в соответствии с учредительными документами, осуществляется на ротационной основе в порядке русского алфавита по наименованию государства-члена (ротация каждые 2 года без права продления).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Бюро с уполномоченными органами государств-членов и Комиссией осуществляется посредством участия представителей уполномоченных органов и Комиссии в работе наблюдательного совета Бюро (далее – наблюдательный совет). 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Наблюдательный совет может включать в себя представителей уполномоченных органов, представителей Комиссии и Евразийского банка развития (по согласованию), а также иных организаций.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наблюдательного совета вправе присутствовать на собраниях (заседаниях) органов управления Бюро, а также на иных проводимых Бюро мероприятиях в целях содействия в урегулировании конфликтов внутри профессионального сообщества.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наблюдательного совета в лице уполномоченных органов государств-членов и Комиссии, в компетенцию которых входят вопросы электронной торговли и регулирования государственного контроля (надзора) на национальном и наднациональном уровнях, могут привлекать Бюро для участия в выработке предложений по вопросам совершенствования порядка прохождения процедуры государственного контроля (надзора) в сфере производства и обращения ювелирных и других изделий из драгоценных металлов и драгоценных камней при оформлении международных почтовых отправлений в адрес физических лиц.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Бюро направляет членам наблюдательного совета информацию о результатах своей деятельности для выработки согласованных с государствами-членами решений, направленных на развитие ювелирной промышленности и продвижение ювелирной продукции государств-членов на рынки третьих стран, а также для выработки возможных дополнительных механизмов стимулирования и продвижения существующих и совместно создаваемых брендов производителей ювелирной продукции государств-членов, в том числе евразийского бренда. 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Бюро может привлекать членов наблюдательного совета для участия в рабочих совещаниях и группах в целях разработки стратегии, политики и бизнес-плана Бюро по выходу на целевые рынки сбыта.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в государствах-членах могут создаваться филиалы и представительства Бюро. Порядок их создания определяется учредительными документами Бюро.</w:t>
      </w:r>
    </w:p>
    <w:bookmarkEnd w:id="90"/>
    <w:bookmarkStart w:name="z9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 Финансирование Бюро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Уставный (первоначальный) капитал Бюро формируется за счет имущественных взносов членов Бюро.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уставного (первоначального) капитала Бюро определяется в соответствии с законодательством государства-члена, на территории которого зарегистрировано Бюро.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Бюро формируется за счет членских взносов, уплачиваемых членами Бюро ежегодно.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Бюджет, суммы членских взносов и порядок их уплаты определяются внутренними документами Бюро.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выполнения стоящих перед Бюро задач по поддержке экспорта ювелирной продукции государств-членов может быть привлечено финансирование из следующих источников: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собственные средства членов Бюро;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инвесторов, фондов, общественных и иных заинтересованных организаций, привлекаемых членами Бюро в установленном законодательством государств-членов порядке и в соответствии с внутренней финансовой политикой указанных инвесторов, фондов и организаций; 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соответствующих государственных программ, инструментов государственной поддержки в соответствии с законодательством государств-членов; 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международных финансовых организаций в соответствии с их внутренней финансовой политикой (в части полного или частичного финансирования совместных проектов);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Бюро, полученные от оказания информационно-консультационных услуг.</w:t>
      </w:r>
    </w:p>
    <w:bookmarkEnd w:id="101"/>
    <w:bookmarkStart w:name="z10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 Ожидаемые результаты деятельности Бюро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Показателями эффективности деятельности Бюро должны стать следующие результаты: 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объемов экспорта ювелирной продукции государств-членов на рынки третьих стран;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загрузки имеющихся и создаваемых производственных мощностей ювелирной отрасли государств-членов;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 объема инвестиций в ювелирную отрасль государств-членов и повышение затрат на технологические инновации;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углубление кооперации ювелирной отрасли в рамках Союза; 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 представленности производителей ювелирной продукции государств-членов на международных выставочно-ярмарочных мероприятиях;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улучшение репутации производителей ювелирной продукции государств-членов и рост доверия к ювелирным брендам государств-членов.</w:t>
      </w:r>
    </w:p>
    <w:bookmarkEnd w:id="10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