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a986" w14:textId="c73a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порядке перечисления сумм ввозных таможенных, специальных, антидемпинговых и компенсационных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18 мая 2022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Правительствам государств – членов Евразийского экономического союза (далее – государства-члены) и национальным (центральным) банкам государств-членов совместно с Евразийской экономической комиссией оперативно подготовить проект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части, касающейся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предусмотрев в нем положения, указанные в пункте 2 настоящего Решения, и применение этих положений в отношении правоотношений, возникших с 1 января 2022 г., и представить его для рассмотрения на очередном заседании Высшего Евразийского экономического совета.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Государствам-членам временно, по взаимному согласованию, до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указанного в пункте 1 настоящего Решения, исходить из возможности осуществлять исполнение возникших с 1 января 2022 г. встречных обязательств по перечислению денежных средств в счет сумм ввозных таможенных, специальных, антидемпинговых и компенсационных пошлин также и в российских рублях (по официальным курсам национальных валют, установленным национальными (центральными) банками государств-членов на рабочий день, следующий за датой перечисления денежных средств в национальной валюте).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исходить из того, что пени за неисполнение либо ненадлежащее исполнение указанных обязательств национальными (центральными) банками государств-членов не начисляются с 1 января по 30 июня 2022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