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3191" w14:textId="cf73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Инструкции по организации, обеспечению функционирования и безопасности каналов передачи данных в интегрированной информационной системе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5 июля 2022 года № 98.</w:t>
      </w:r>
    </w:p>
    <w:p>
      <w:pPr>
        <w:spacing w:after="0"/>
        <w:ind w:left="0"/>
        <w:jc w:val="left"/>
      </w:pP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пунктов 23</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Евразийская экономическая коллегия </w:t>
      </w:r>
      <w:r>
        <w:rPr>
          <w:rFonts w:ascii="Times New Roman"/>
          <w:b/>
          <w:i w:val="false"/>
          <w:color w:val="000000"/>
          <w:sz w:val="28"/>
        </w:rPr>
        <w:t>решила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обеспечению функционирования и безопасности каналов передачи данных в интегрированной информационной системе Евразийского экономического союза.</w:t>
      </w:r>
    </w:p>
    <w:bookmarkStart w:name="z6" w:id="0"/>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5 июля 2022 г. № 98</w:t>
            </w:r>
          </w:p>
        </w:tc>
      </w:tr>
    </w:tbl>
    <w:bookmarkStart w:name="z9" w:id="1"/>
    <w:p>
      <w:pPr>
        <w:spacing w:after="0"/>
        <w:ind w:left="0"/>
        <w:jc w:val="left"/>
      </w:pPr>
      <w:r>
        <w:rPr>
          <w:rFonts w:ascii="Times New Roman"/>
          <w:b/>
          <w:i w:val="false"/>
          <w:color w:val="000000"/>
        </w:rPr>
        <w:t xml:space="preserve"> ИНСТРУКЦИЯ</w:t>
      </w:r>
    </w:p>
    <w:bookmarkEnd w:id="1"/>
    <w:bookmarkStart w:name="z10" w:id="2"/>
    <w:p>
      <w:pPr>
        <w:spacing w:after="0"/>
        <w:ind w:left="0"/>
        <w:jc w:val="left"/>
      </w:pPr>
      <w:r>
        <w:rPr>
          <w:rFonts w:ascii="Times New Roman"/>
          <w:b/>
          <w:i w:val="false"/>
          <w:color w:val="000000"/>
        </w:rPr>
        <w:t xml:space="preserve"> по организации, обеспечению функционирования и безопасности каналов передачи данных в интегрированной информационной системе Евразийского экономического союза</w:t>
      </w:r>
    </w:p>
    <w:bookmarkEnd w:id="2"/>
    <w:bookmarkStart w:name="z11" w:id="3"/>
    <w:p>
      <w:pPr>
        <w:spacing w:after="0"/>
        <w:ind w:left="0"/>
        <w:jc w:val="left"/>
      </w:pPr>
      <w:r>
        <w:rPr>
          <w:rFonts w:ascii="Times New Roman"/>
          <w:b/>
          <w:i w:val="false"/>
          <w:color w:val="000000"/>
        </w:rPr>
        <w:t xml:space="preserve"> Общие положения</w:t>
      </w:r>
    </w:p>
    <w:bookmarkEnd w:id="3"/>
    <w:bookmarkStart w:name="z12" w:id="4"/>
    <w:p>
      <w:pPr>
        <w:spacing w:after="0"/>
        <w:ind w:left="0"/>
        <w:jc w:val="both"/>
      </w:pPr>
      <w:r>
        <w:rPr>
          <w:rFonts w:ascii="Times New Roman"/>
          <w:b w:val="false"/>
          <w:i w:val="false"/>
          <w:color w:val="000000"/>
          <w:sz w:val="28"/>
        </w:rPr>
        <w:t>
      1. Настоящая Инструкция разработана в соответствии с Решением Коллегии Евразийской экономической комиссии от 2 июня 2016 г. № 50 (ДСП) и определяет порядок организации, обеспечения функционирования и безопасности защищенных каналов передачи данных между интеграционным и национальными сегментами интегрированной информационной системы Евразийского экономического союза (далее соответственно – интегрированная система, Союз), а также между национальными сегментами интегрированной системы (далее – защищенные каналы передачи данных).</w:t>
      </w:r>
    </w:p>
    <w:bookmarkEnd w:id="4"/>
    <w:bookmarkStart w:name="z13" w:id="5"/>
    <w:p>
      <w:pPr>
        <w:spacing w:after="0"/>
        <w:ind w:left="0"/>
        <w:jc w:val="both"/>
      </w:pPr>
      <w:r>
        <w:rPr>
          <w:rFonts w:ascii="Times New Roman"/>
          <w:b w:val="false"/>
          <w:i w:val="false"/>
          <w:color w:val="000000"/>
          <w:sz w:val="28"/>
        </w:rPr>
        <w:t>
      2. Положения настоящей Инструкции направлены на достижение устойчивого функционирования и выполнения заданных функций защищенными каналами передачи данных в условиях возможного воздействия нарушителем, возможности которого определены моделью угроз безопасности информации и действий потенциального нарушителя, утвержденной Решением Коллегии Евразийской экономической комиссии от 26 сентября 2017 г. № 122 (ДСП).</w:t>
      </w:r>
    </w:p>
    <w:bookmarkEnd w:id="5"/>
    <w:bookmarkStart w:name="z14" w:id="6"/>
    <w:p>
      <w:pPr>
        <w:spacing w:after="0"/>
        <w:ind w:left="0"/>
        <w:jc w:val="both"/>
      </w:pPr>
      <w:r>
        <w:rPr>
          <w:rFonts w:ascii="Times New Roman"/>
          <w:b w:val="false"/>
          <w:i w:val="false"/>
          <w:color w:val="000000"/>
          <w:sz w:val="28"/>
        </w:rPr>
        <w:t>
      3. Положения Инструкции распространяются на деятельность в сфере осуществления межгосударственного обмена данными с использованием интегрированной системы, осуществляемую Евразийской экономической комиссией (далее – Комиссия), а также операторами интеграционных шлюзов и доверенных третьих сторон национальных сегментов интегрированной системы.</w:t>
      </w:r>
    </w:p>
    <w:bookmarkEnd w:id="6"/>
    <w:bookmarkStart w:name="z15" w:id="7"/>
    <w:p>
      <w:pPr>
        <w:spacing w:after="0"/>
        <w:ind w:left="0"/>
        <w:jc w:val="left"/>
      </w:pPr>
      <w:r>
        <w:rPr>
          <w:rFonts w:ascii="Times New Roman"/>
          <w:b/>
          <w:i w:val="false"/>
          <w:color w:val="000000"/>
        </w:rPr>
        <w:t xml:space="preserve"> Определения</w:t>
      </w:r>
    </w:p>
    <w:bookmarkEnd w:id="7"/>
    <w:bookmarkStart w:name="z16" w:id="8"/>
    <w:p>
      <w:pPr>
        <w:spacing w:after="0"/>
        <w:ind w:left="0"/>
        <w:jc w:val="both"/>
      </w:pPr>
      <w:r>
        <w:rPr>
          <w:rFonts w:ascii="Times New Roman"/>
          <w:b w:val="false"/>
          <w:i w:val="false"/>
          <w:color w:val="000000"/>
          <w:sz w:val="28"/>
        </w:rPr>
        <w:t>
      4. Для целей настоящего документа используются понятия, которые означают следующее:</w:t>
      </w:r>
    </w:p>
    <w:bookmarkEnd w:id="8"/>
    <w:bookmarkStart w:name="z17" w:id="9"/>
    <w:p>
      <w:pPr>
        <w:spacing w:after="0"/>
        <w:ind w:left="0"/>
        <w:jc w:val="both"/>
      </w:pPr>
      <w:r>
        <w:rPr>
          <w:rFonts w:ascii="Times New Roman"/>
          <w:b w:val="false"/>
          <w:i w:val="false"/>
          <w:color w:val="000000"/>
          <w:sz w:val="28"/>
        </w:rPr>
        <w:t>
      "администратор защищенной сети передачи данных" – уполномоченное лицо (лица) Комиссии, осуществляющее управление защищенной сетью передачи данных, в том числе непосредственное конфигурирование и управление компонентами защищенной сети передачи данных в соответствии с настоящей Инструкцией и эксплуатационной документацией на такие компоненты;</w:t>
      </w:r>
    </w:p>
    <w:bookmarkEnd w:id="9"/>
    <w:bookmarkStart w:name="z18" w:id="10"/>
    <w:p>
      <w:pPr>
        <w:spacing w:after="0"/>
        <w:ind w:left="0"/>
        <w:jc w:val="both"/>
      </w:pPr>
      <w:r>
        <w:rPr>
          <w:rFonts w:ascii="Times New Roman"/>
          <w:b w:val="false"/>
          <w:i w:val="false"/>
          <w:color w:val="000000"/>
          <w:sz w:val="28"/>
        </w:rPr>
        <w:t>
      "администратор криптошлюзов" – уполномоченное лицо (лица) участника защищенной сети передачи данных, осуществляющее непосредственное конфигурирование криптошлюзов, размещенных у участника защищенной сети передачи данных в соответствии с технической и эксплуатационной документацией на криптошлюзы и настоящей Инструкцией;</w:t>
      </w:r>
    </w:p>
    <w:bookmarkEnd w:id="10"/>
    <w:bookmarkStart w:name="z19" w:id="11"/>
    <w:p>
      <w:pPr>
        <w:spacing w:after="0"/>
        <w:ind w:left="0"/>
        <w:jc w:val="both"/>
      </w:pPr>
      <w:r>
        <w:rPr>
          <w:rFonts w:ascii="Times New Roman"/>
          <w:b w:val="false"/>
          <w:i w:val="false"/>
          <w:color w:val="000000"/>
          <w:sz w:val="28"/>
        </w:rPr>
        <w:t>
      "защищенная сеть передачи данных" – виртуальная, наложенная на физические каналы передачи данных защищенная транспортная сеть, обеспечивающая множественные сетевые соединения между криптошлюзами, построенная с использованием технологий межсетевого экранирования и частных виртуальных сетей, использующая для защиты каналов передачи данных криптографический стандарт, утверждаемый Комиссией;</w:t>
      </w:r>
    </w:p>
    <w:bookmarkEnd w:id="11"/>
    <w:bookmarkStart w:name="z20" w:id="12"/>
    <w:p>
      <w:pPr>
        <w:spacing w:after="0"/>
        <w:ind w:left="0"/>
        <w:jc w:val="both"/>
      </w:pPr>
      <w:r>
        <w:rPr>
          <w:rFonts w:ascii="Times New Roman"/>
          <w:b w:val="false"/>
          <w:i w:val="false"/>
          <w:color w:val="000000"/>
          <w:sz w:val="28"/>
        </w:rPr>
        <w:t>
      "ключевой блокнот" – оптический носитель информации, содержащий предварительно созданную последовательность случайных чисел (гамму), используемую для генерации криптографических ключей и инициализирующих последовательностей программных датчиков случайных чисел в криптошлюзах;</w:t>
      </w:r>
    </w:p>
    <w:bookmarkEnd w:id="12"/>
    <w:bookmarkStart w:name="z21" w:id="13"/>
    <w:p>
      <w:pPr>
        <w:spacing w:after="0"/>
        <w:ind w:left="0"/>
        <w:jc w:val="both"/>
      </w:pPr>
      <w:r>
        <w:rPr>
          <w:rFonts w:ascii="Times New Roman"/>
          <w:b w:val="false"/>
          <w:i w:val="false"/>
          <w:color w:val="000000"/>
          <w:sz w:val="28"/>
        </w:rPr>
        <w:t>
      "ключевой дистрибутив" – файл, формируемый с использованием ключевого центра, предназначенный для инициализации криптошлюза и содержащий комплект криптографических ключей и справочников защищенной сети передачи данных;</w:t>
      </w:r>
    </w:p>
    <w:bookmarkEnd w:id="13"/>
    <w:bookmarkStart w:name="z22" w:id="14"/>
    <w:p>
      <w:pPr>
        <w:spacing w:after="0"/>
        <w:ind w:left="0"/>
        <w:jc w:val="both"/>
      </w:pPr>
      <w:r>
        <w:rPr>
          <w:rFonts w:ascii="Times New Roman"/>
          <w:b w:val="false"/>
          <w:i w:val="false"/>
          <w:color w:val="000000"/>
          <w:sz w:val="28"/>
        </w:rPr>
        <w:t>
      "ключевой центр" – программно-аппаратный автономный компонент центра управления защищенной сетью, с использованием которого обеспечивается назначение ключевых блокнотов для криптошлюзов, формирование справочной и ключевой информации защищенной сети передачи данных;</w:t>
      </w:r>
    </w:p>
    <w:bookmarkEnd w:id="14"/>
    <w:bookmarkStart w:name="z23" w:id="15"/>
    <w:p>
      <w:pPr>
        <w:spacing w:after="0"/>
        <w:ind w:left="0"/>
        <w:jc w:val="both"/>
      </w:pPr>
      <w:r>
        <w:rPr>
          <w:rFonts w:ascii="Times New Roman"/>
          <w:b w:val="false"/>
          <w:i w:val="false"/>
          <w:color w:val="000000"/>
          <w:sz w:val="28"/>
        </w:rPr>
        <w:t>
      "контролируемая зона" – пространство, в пределах которого осуществляется контроль над пребыванием и действиями лиц и (или) транспортных средств;</w:t>
      </w:r>
    </w:p>
    <w:bookmarkEnd w:id="15"/>
    <w:bookmarkStart w:name="z24" w:id="16"/>
    <w:p>
      <w:pPr>
        <w:spacing w:after="0"/>
        <w:ind w:left="0"/>
        <w:jc w:val="both"/>
      </w:pPr>
      <w:r>
        <w:rPr>
          <w:rFonts w:ascii="Times New Roman"/>
          <w:b w:val="false"/>
          <w:i w:val="false"/>
          <w:color w:val="000000"/>
          <w:sz w:val="28"/>
        </w:rPr>
        <w:t>
      "криптошлюз" – аппаратно-программное средство криптографической защиты информации, выполняющее в составе защищенной сети функции зашифрования, расшифрования и имитозащиты трафика от заданных адресатов, фильтрации сетевых соединений в соответствии с заданной политикой безопасности, трансляции сетевых адресов, автоматической настройки IP-адресов устройств, маршрутизации сетевых пакетов, доставки обновлений ключевой и справочной информации защищенной сети передачи данных, экстренного стирания ключевой информации;</w:t>
      </w:r>
    </w:p>
    <w:bookmarkEnd w:id="16"/>
    <w:bookmarkStart w:name="z25" w:id="17"/>
    <w:p>
      <w:pPr>
        <w:spacing w:after="0"/>
        <w:ind w:left="0"/>
        <w:jc w:val="both"/>
      </w:pPr>
      <w:r>
        <w:rPr>
          <w:rFonts w:ascii="Times New Roman"/>
          <w:b w:val="false"/>
          <w:i w:val="false"/>
          <w:color w:val="000000"/>
          <w:sz w:val="28"/>
        </w:rPr>
        <w:t>
      "магистральная телекоммуникационная сеть" – телекоммуникационная IP-сеть поставщика услуг аренды каналов связи, построенная с применением технологии многопротокольной коммутации по меткам пакетов данных (MPLS) и обеспечивающая сетевую связность национальных сегментов интегрированной системы между собой, а также с интеграционным сегментом;</w:t>
      </w:r>
    </w:p>
    <w:bookmarkEnd w:id="17"/>
    <w:bookmarkStart w:name="z26" w:id="18"/>
    <w:p>
      <w:pPr>
        <w:spacing w:after="0"/>
        <w:ind w:left="0"/>
        <w:jc w:val="both"/>
      </w:pPr>
      <w:r>
        <w:rPr>
          <w:rFonts w:ascii="Times New Roman"/>
          <w:b w:val="false"/>
          <w:i w:val="false"/>
          <w:color w:val="000000"/>
          <w:sz w:val="28"/>
        </w:rPr>
        <w:t xml:space="preserve">
      "орган криптографической защиты информации" – уполномоченное структурное подразделение Комиссии, разрабатывающее и осуществляющее мероприятия по организации и обеспечению безопасности хранения, обработки и передачи информации ограниченного доступа с использованием средств криптографической защиты информации, а также безопасности применяемых средств криптографической защиты информации в соответствии с правилами их пользования; </w:t>
      </w:r>
    </w:p>
    <w:bookmarkEnd w:id="18"/>
    <w:bookmarkStart w:name="z27" w:id="19"/>
    <w:p>
      <w:pPr>
        <w:spacing w:after="0"/>
        <w:ind w:left="0"/>
        <w:jc w:val="both"/>
      </w:pPr>
      <w:r>
        <w:rPr>
          <w:rFonts w:ascii="Times New Roman"/>
          <w:b w:val="false"/>
          <w:i w:val="false"/>
          <w:color w:val="000000"/>
          <w:sz w:val="28"/>
        </w:rPr>
        <w:t>
      "техническое сопровождение защищенной сети передачи данных" – консультирование участников защищенной сети передачи данных по вопросам работы криптошлюзов;</w:t>
      </w:r>
    </w:p>
    <w:bookmarkEnd w:id="19"/>
    <w:bookmarkStart w:name="z28" w:id="20"/>
    <w:p>
      <w:pPr>
        <w:spacing w:after="0"/>
        <w:ind w:left="0"/>
        <w:jc w:val="both"/>
      </w:pPr>
      <w:r>
        <w:rPr>
          <w:rFonts w:ascii="Times New Roman"/>
          <w:b w:val="false"/>
          <w:i w:val="false"/>
          <w:color w:val="000000"/>
          <w:sz w:val="28"/>
        </w:rPr>
        <w:t>
      "участник защищенной сети передачи данных" – Комиссия или оператор интеграционных шлюзов и доверенных третьих сторон национальных сегментов интегрированной системы, подключенные в установленном порядке к защищенной сети передачи данных;</w:t>
      </w:r>
    </w:p>
    <w:bookmarkEnd w:id="20"/>
    <w:bookmarkStart w:name="z29" w:id="21"/>
    <w:p>
      <w:pPr>
        <w:spacing w:after="0"/>
        <w:ind w:left="0"/>
        <w:jc w:val="both"/>
      </w:pPr>
      <w:r>
        <w:rPr>
          <w:rFonts w:ascii="Times New Roman"/>
          <w:b w:val="false"/>
          <w:i w:val="false"/>
          <w:color w:val="000000"/>
          <w:sz w:val="28"/>
        </w:rPr>
        <w:t>
      "центр управления защищенной сетью передачи данных" – программно-аппаратный компонент подсистемы информационной безопасности интеграционного сегмента Комиссии интегрированной системы, с использованием которого обеспечивается регистрация криптошлюзов в защищенной сети передачи данных, назначение связей между криптошлюзами, рассылка обновлений ключевой и справочной информации защищенной сети передачи данных.</w:t>
      </w:r>
    </w:p>
    <w:bookmarkEnd w:id="21"/>
    <w:bookmarkStart w:name="z30" w:id="22"/>
    <w:p>
      <w:pPr>
        <w:spacing w:after="0"/>
        <w:ind w:left="0"/>
        <w:jc w:val="left"/>
      </w:pPr>
      <w:r>
        <w:rPr>
          <w:rFonts w:ascii="Times New Roman"/>
          <w:b/>
          <w:i w:val="false"/>
          <w:color w:val="000000"/>
        </w:rPr>
        <w:t xml:space="preserve"> Организация и обеспечение функционирования защищенной сети передачи данных</w:t>
      </w:r>
    </w:p>
    <w:bookmarkEnd w:id="22"/>
    <w:bookmarkStart w:name="z31" w:id="23"/>
    <w:p>
      <w:pPr>
        <w:spacing w:after="0"/>
        <w:ind w:left="0"/>
        <w:jc w:val="both"/>
      </w:pPr>
      <w:r>
        <w:rPr>
          <w:rFonts w:ascii="Times New Roman"/>
          <w:b w:val="false"/>
          <w:i w:val="false"/>
          <w:color w:val="000000"/>
          <w:sz w:val="28"/>
        </w:rPr>
        <w:t>
      5. Защищенная сеть передачи данных состоит из центра управления защищенной сетью передачи данных, размещаемого в помещениях Комиссии, и криптошлюзов, владельцем которых является Комиссия либо участник защищенной сети передачи данных и устанавливаемых в помещениях по месту размещения участников защищенной сети передачи данных.</w:t>
      </w:r>
    </w:p>
    <w:bookmarkEnd w:id="23"/>
    <w:bookmarkStart w:name="z32" w:id="24"/>
    <w:p>
      <w:pPr>
        <w:spacing w:after="0"/>
        <w:ind w:left="0"/>
        <w:jc w:val="both"/>
      </w:pPr>
      <w:r>
        <w:rPr>
          <w:rFonts w:ascii="Times New Roman"/>
          <w:b w:val="false"/>
          <w:i w:val="false"/>
          <w:color w:val="000000"/>
          <w:sz w:val="28"/>
        </w:rPr>
        <w:t>
      6. Криптошлюзы, используемые в защищенной сети передачи данных, должны быть предназначены для защиты конфиденциальной информации, не содержащей сведений, составляющих государственную тайну (государственные секреты) и иметь действующие сертификаты соответствия требованиям к средствам криптографической защиты информации, выданные уполномоченным органом государства нахождения их производителя.</w:t>
      </w:r>
    </w:p>
    <w:bookmarkEnd w:id="24"/>
    <w:bookmarkStart w:name="z33" w:id="25"/>
    <w:p>
      <w:pPr>
        <w:spacing w:after="0"/>
        <w:ind w:left="0"/>
        <w:jc w:val="both"/>
      </w:pPr>
      <w:r>
        <w:rPr>
          <w:rFonts w:ascii="Times New Roman"/>
          <w:b w:val="false"/>
          <w:i w:val="false"/>
          <w:color w:val="000000"/>
          <w:sz w:val="28"/>
        </w:rPr>
        <w:t>
      7. Криптошлюзы, владельцем которых является Комиссия, передаются Комиссией участникам защищенной сети передачи данных в безвозмездное временное пользование по их запросу. Финансовое обеспечение передачи, за исключением затрат на импортно-экспортные операции в соответствии с законодательством государства участника защищенной сети передачи данных, осуществляются за счет средств, предусмотренных бюджетом Союза на соответствующий финансовый год, в рамках работ на создание, обеспечение функционирования и развитие интегрированной системы.</w:t>
      </w:r>
    </w:p>
    <w:bookmarkEnd w:id="25"/>
    <w:bookmarkStart w:name="z34" w:id="26"/>
    <w:p>
      <w:pPr>
        <w:spacing w:after="0"/>
        <w:ind w:left="0"/>
        <w:jc w:val="both"/>
      </w:pPr>
      <w:r>
        <w:rPr>
          <w:rFonts w:ascii="Times New Roman"/>
          <w:b w:val="false"/>
          <w:i w:val="false"/>
          <w:color w:val="000000"/>
          <w:sz w:val="28"/>
        </w:rPr>
        <w:t>
      8. Криптошлюзы, владельцами которых являются участники защищенной сети передачи данных, должны быть совместимы с центром управления защищенной сетью передачи данных, технологиями передачи данных в защищенной сети передачи данных, ключевой системой защищенной сети передачи данных, а также не должны снижать общий уровень защищенности и надежности защищенной сети передачи данных.</w:t>
      </w:r>
    </w:p>
    <w:bookmarkEnd w:id="26"/>
    <w:bookmarkStart w:name="z35" w:id="27"/>
    <w:p>
      <w:pPr>
        <w:spacing w:after="0"/>
        <w:ind w:left="0"/>
        <w:jc w:val="both"/>
      </w:pPr>
      <w:r>
        <w:rPr>
          <w:rFonts w:ascii="Times New Roman"/>
          <w:b w:val="false"/>
          <w:i w:val="false"/>
          <w:color w:val="000000"/>
          <w:sz w:val="28"/>
        </w:rPr>
        <w:t>
      9. Центр управления защищенной сетью и криптошлюзы должны размещаться в пределах контролируемой зоны Комиссии или участников защищенной сети передачи данных соответственно.</w:t>
      </w:r>
    </w:p>
    <w:bookmarkEnd w:id="27"/>
    <w:bookmarkStart w:name="z36" w:id="28"/>
    <w:p>
      <w:pPr>
        <w:spacing w:after="0"/>
        <w:ind w:left="0"/>
        <w:jc w:val="both"/>
      </w:pPr>
      <w:r>
        <w:rPr>
          <w:rFonts w:ascii="Times New Roman"/>
          <w:b w:val="false"/>
          <w:i w:val="false"/>
          <w:color w:val="000000"/>
          <w:sz w:val="28"/>
        </w:rPr>
        <w:t>
      10. Ключевые блокноты, ключевые дистрибутивы, криптошлюзы с установленными ключевыми дистрибутивами, устройства аутентификации криптошлюзов относятся к материальным носителям, содержащим информацию ограниченного доступа, и должны быть защищены от несанкционированного доступа к ним третьих лиц.</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Криптошлюзы, установленные у участников защищенной сети передачи данных, должны находиться в работоспособном состоянии 365 дней в году, 7 дней в неделю и 24 часа в сутки, быть доступными для других участников защищенной сети передачи данных при защищенном взаимодействии с использованием магистральной телекоммуникационной сети, за исключением времени проведения плановых профилактических работ.</w:t>
      </w:r>
    </w:p>
    <w:bookmarkStart w:name="z38" w:id="29"/>
    <w:p>
      <w:pPr>
        <w:spacing w:after="0"/>
        <w:ind w:left="0"/>
        <w:jc w:val="both"/>
      </w:pPr>
      <w:r>
        <w:rPr>
          <w:rFonts w:ascii="Times New Roman"/>
          <w:b w:val="false"/>
          <w:i w:val="false"/>
          <w:color w:val="000000"/>
          <w:sz w:val="28"/>
        </w:rPr>
        <w:t>
      12. Администрирование и техническое сопровождение защищенной сети передачи данных осуществляется администратором защищенной сети передачи данных самостоятельно либо с привлечением сторонних организаций. Привлекаемые для администрирования и технического сопровождения защищенной сети организации осуществляют такую деятельность в соответствии с законодательством государства пребывания Комиссии, настоящей Инструкцией и эксплуатационной документацией на компоненты защищенной сети передачи данных.</w:t>
      </w:r>
    </w:p>
    <w:bookmarkEnd w:id="29"/>
    <w:bookmarkStart w:name="z39" w:id="30"/>
    <w:p>
      <w:pPr>
        <w:spacing w:after="0"/>
        <w:ind w:left="0"/>
        <w:jc w:val="left"/>
      </w:pPr>
      <w:r>
        <w:rPr>
          <w:rFonts w:ascii="Times New Roman"/>
          <w:b/>
          <w:i w:val="false"/>
          <w:color w:val="000000"/>
        </w:rPr>
        <w:t xml:space="preserve"> Функции органа криптографической защиты информации, администратора и участников защищенной сети передачи данных</w:t>
      </w:r>
    </w:p>
    <w:bookmarkEnd w:id="30"/>
    <w:bookmarkStart w:name="z40" w:id="31"/>
    <w:p>
      <w:pPr>
        <w:spacing w:after="0"/>
        <w:ind w:left="0"/>
        <w:jc w:val="both"/>
      </w:pPr>
      <w:r>
        <w:rPr>
          <w:rFonts w:ascii="Times New Roman"/>
          <w:b w:val="false"/>
          <w:i w:val="false"/>
          <w:color w:val="000000"/>
          <w:sz w:val="28"/>
        </w:rPr>
        <w:t>
      13. Орган криптографической защиты информации выполняет следующие функции:</w:t>
      </w:r>
    </w:p>
    <w:bookmarkEnd w:id="31"/>
    <w:bookmarkStart w:name="z41" w:id="32"/>
    <w:p>
      <w:pPr>
        <w:spacing w:after="0"/>
        <w:ind w:left="0"/>
        <w:jc w:val="both"/>
      </w:pPr>
      <w:r>
        <w:rPr>
          <w:rFonts w:ascii="Times New Roman"/>
          <w:b w:val="false"/>
          <w:i w:val="false"/>
          <w:color w:val="000000"/>
          <w:sz w:val="28"/>
        </w:rPr>
        <w:t xml:space="preserve">
      а) организует оснащение участников защищенной сети передачи данных криптошлюзами; </w:t>
      </w:r>
    </w:p>
    <w:bookmarkEnd w:id="32"/>
    <w:bookmarkStart w:name="z42" w:id="33"/>
    <w:p>
      <w:pPr>
        <w:spacing w:after="0"/>
        <w:ind w:left="0"/>
        <w:jc w:val="both"/>
      </w:pPr>
      <w:r>
        <w:rPr>
          <w:rFonts w:ascii="Times New Roman"/>
          <w:b w:val="false"/>
          <w:i w:val="false"/>
          <w:color w:val="000000"/>
          <w:sz w:val="28"/>
        </w:rPr>
        <w:t>
      б) организует обучение администраторов криптошлюзов правилам работы с криптошлюзами;</w:t>
      </w:r>
    </w:p>
    <w:bookmarkEnd w:id="33"/>
    <w:bookmarkStart w:name="z43" w:id="34"/>
    <w:p>
      <w:pPr>
        <w:spacing w:after="0"/>
        <w:ind w:left="0"/>
        <w:jc w:val="both"/>
      </w:pPr>
      <w:r>
        <w:rPr>
          <w:rFonts w:ascii="Times New Roman"/>
          <w:b w:val="false"/>
          <w:i w:val="false"/>
          <w:color w:val="000000"/>
          <w:sz w:val="28"/>
        </w:rPr>
        <w:t>
      в) определяет готовность участника защищенной сети передачи данных к самостоятельному использованию криптошлюзов;</w:t>
      </w:r>
    </w:p>
    <w:bookmarkEnd w:id="34"/>
    <w:bookmarkStart w:name="z44" w:id="35"/>
    <w:p>
      <w:pPr>
        <w:spacing w:after="0"/>
        <w:ind w:left="0"/>
        <w:jc w:val="both"/>
      </w:pPr>
      <w:r>
        <w:rPr>
          <w:rFonts w:ascii="Times New Roman"/>
          <w:b w:val="false"/>
          <w:i w:val="false"/>
          <w:color w:val="000000"/>
          <w:sz w:val="28"/>
        </w:rPr>
        <w:t>
      г) ведет поэкземплярный учет криптошлюзов и средств криптографической защиты информации, используемых в составе центра управления защищенной сетью передачи данных, технической и эксплуатационной документации к ним, ключевых блокнотов, материальных носителей ключевых дистрибутивов и иной ключевой информации, используемой для обеспечения функционирования защищенной сети передачи данных;</w:t>
      </w:r>
    </w:p>
    <w:bookmarkEnd w:id="35"/>
    <w:bookmarkStart w:name="z45" w:id="36"/>
    <w:p>
      <w:pPr>
        <w:spacing w:after="0"/>
        <w:ind w:left="0"/>
        <w:jc w:val="both"/>
      </w:pPr>
      <w:r>
        <w:rPr>
          <w:rFonts w:ascii="Times New Roman"/>
          <w:b w:val="false"/>
          <w:i w:val="false"/>
          <w:color w:val="000000"/>
          <w:sz w:val="28"/>
        </w:rPr>
        <w:t>
      д) ведет реестр участников защищенной сети передачи данных;</w:t>
      </w:r>
    </w:p>
    <w:bookmarkEnd w:id="36"/>
    <w:bookmarkStart w:name="z46" w:id="37"/>
    <w:p>
      <w:pPr>
        <w:spacing w:after="0"/>
        <w:ind w:left="0"/>
        <w:jc w:val="both"/>
      </w:pPr>
      <w:r>
        <w:rPr>
          <w:rFonts w:ascii="Times New Roman"/>
          <w:b w:val="false"/>
          <w:i w:val="false"/>
          <w:color w:val="000000"/>
          <w:sz w:val="28"/>
        </w:rPr>
        <w:t>
      е) обеспечивает своевременное получение ключевых блокнотов и создание ключевых дистрибутивов в центре управления защищенной сетью передачи данных, а также их распределение, рассылку и учет;</w:t>
      </w:r>
    </w:p>
    <w:bookmarkEnd w:id="37"/>
    <w:bookmarkStart w:name="z47" w:id="38"/>
    <w:p>
      <w:pPr>
        <w:spacing w:after="0"/>
        <w:ind w:left="0"/>
        <w:jc w:val="both"/>
      </w:pPr>
      <w:r>
        <w:rPr>
          <w:rFonts w:ascii="Times New Roman"/>
          <w:b w:val="false"/>
          <w:i w:val="false"/>
          <w:color w:val="000000"/>
          <w:sz w:val="28"/>
        </w:rPr>
        <w:t>
      ж) принимает решение о вводе в действие очередных серий ключевых блокнотов и заблаговременно информирует участников защищенной сети передачи данных о дате и времени такого ввода;</w:t>
      </w:r>
    </w:p>
    <w:bookmarkEnd w:id="38"/>
    <w:bookmarkStart w:name="z48" w:id="39"/>
    <w:p>
      <w:pPr>
        <w:spacing w:after="0"/>
        <w:ind w:left="0"/>
        <w:jc w:val="both"/>
      </w:pPr>
      <w:r>
        <w:rPr>
          <w:rFonts w:ascii="Times New Roman"/>
          <w:b w:val="false"/>
          <w:i w:val="false"/>
          <w:color w:val="000000"/>
          <w:sz w:val="28"/>
        </w:rPr>
        <w:t xml:space="preserve">
      з) обеспечивает защиту технической и эксплуатационной документации, ключевых блокнотов и ключевых дистрибутивов от несанкционированного доступа третьих лиц в рамках своих полномочий; </w:t>
      </w:r>
    </w:p>
    <w:bookmarkEnd w:id="39"/>
    <w:bookmarkStart w:name="z49" w:id="40"/>
    <w:p>
      <w:pPr>
        <w:spacing w:after="0"/>
        <w:ind w:left="0"/>
        <w:jc w:val="both"/>
      </w:pPr>
      <w:r>
        <w:rPr>
          <w:rFonts w:ascii="Times New Roman"/>
          <w:b w:val="false"/>
          <w:i w:val="false"/>
          <w:color w:val="000000"/>
          <w:sz w:val="28"/>
        </w:rPr>
        <w:t>
      и) обеспечивает уничтожение неиспользованных или выведенных из действия ключевых блокнотов и (или) ключевых дистрибутивов;</w:t>
      </w:r>
    </w:p>
    <w:bookmarkEnd w:id="40"/>
    <w:bookmarkStart w:name="z50" w:id="41"/>
    <w:p>
      <w:pPr>
        <w:spacing w:after="0"/>
        <w:ind w:left="0"/>
        <w:jc w:val="both"/>
      </w:pPr>
      <w:r>
        <w:rPr>
          <w:rFonts w:ascii="Times New Roman"/>
          <w:b w:val="false"/>
          <w:i w:val="false"/>
          <w:color w:val="000000"/>
          <w:sz w:val="28"/>
        </w:rPr>
        <w:t>
      к) осуществляет контроль за соблюдением условий использования средств криптографической защиты информации, используемых в составе защищенной сети передачи данных, установленных технической и эксплуатационной документации к ним, и настоящей Инструкцией;</w:t>
      </w:r>
    </w:p>
    <w:bookmarkEnd w:id="41"/>
    <w:bookmarkStart w:name="z51" w:id="42"/>
    <w:p>
      <w:pPr>
        <w:spacing w:after="0"/>
        <w:ind w:left="0"/>
        <w:jc w:val="both"/>
      </w:pPr>
      <w:r>
        <w:rPr>
          <w:rFonts w:ascii="Times New Roman"/>
          <w:b w:val="false"/>
          <w:i w:val="false"/>
          <w:color w:val="000000"/>
          <w:sz w:val="28"/>
        </w:rPr>
        <w:t>
      л) проводит проверки условий использования криптошлюзов и средств криптографической защиты информации, используемых в составе центра управления защищенной сетью передачи данных, на соответствие требованиям технической, эксплуатационной документации и настоящей Инструкции.</w:t>
      </w:r>
    </w:p>
    <w:bookmarkEnd w:id="42"/>
    <w:bookmarkStart w:name="z52" w:id="43"/>
    <w:p>
      <w:pPr>
        <w:spacing w:after="0"/>
        <w:ind w:left="0"/>
        <w:jc w:val="both"/>
      </w:pPr>
      <w:r>
        <w:rPr>
          <w:rFonts w:ascii="Times New Roman"/>
          <w:b w:val="false"/>
          <w:i w:val="false"/>
          <w:color w:val="000000"/>
          <w:sz w:val="28"/>
        </w:rPr>
        <w:t>
      14. Администратор защищенной сети передачи данных выполняет следующие функции:</w:t>
      </w:r>
    </w:p>
    <w:bookmarkEnd w:id="43"/>
    <w:bookmarkStart w:name="z53" w:id="44"/>
    <w:p>
      <w:pPr>
        <w:spacing w:after="0"/>
        <w:ind w:left="0"/>
        <w:jc w:val="both"/>
      </w:pPr>
      <w:r>
        <w:rPr>
          <w:rFonts w:ascii="Times New Roman"/>
          <w:b w:val="false"/>
          <w:i w:val="false"/>
          <w:color w:val="000000"/>
          <w:sz w:val="28"/>
        </w:rPr>
        <w:t>
      а) консультирует участников защищенной сети передачи данных по вопросам функционирования этой сети;</w:t>
      </w:r>
    </w:p>
    <w:bookmarkEnd w:id="44"/>
    <w:bookmarkStart w:name="z54" w:id="45"/>
    <w:p>
      <w:pPr>
        <w:spacing w:after="0"/>
        <w:ind w:left="0"/>
        <w:jc w:val="both"/>
      </w:pPr>
      <w:r>
        <w:rPr>
          <w:rFonts w:ascii="Times New Roman"/>
          <w:b w:val="false"/>
          <w:i w:val="false"/>
          <w:color w:val="000000"/>
          <w:sz w:val="28"/>
        </w:rPr>
        <w:t>
      б) информирует орган крипторафической защиты информации о потребности в ключевых блокнотах с учетом количества криптошлюзов в составе защищенной сети передачи данных с учетом необходимости минимизации времени простоя защищенной сети передачи данных при смене ключей;</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обеспечивает хранение холодного резерва криптошлюзов (не менее 3 единиц) для обеспечения оперативной замены неисправных криптошлюзов участников защищенной сети передачи данных;</w:t>
      </w:r>
    </w:p>
    <w:bookmarkStart w:name="z56" w:id="46"/>
    <w:p>
      <w:pPr>
        <w:spacing w:after="0"/>
        <w:ind w:left="0"/>
        <w:jc w:val="both"/>
      </w:pPr>
      <w:r>
        <w:rPr>
          <w:rFonts w:ascii="Times New Roman"/>
          <w:b w:val="false"/>
          <w:i w:val="false"/>
          <w:color w:val="000000"/>
          <w:sz w:val="28"/>
        </w:rPr>
        <w:t>
      г) в центре управления защищенной сетью передачи данных осуществляет формирование структуры защищенной сети передачи данных на основании информации о структуре интеграционного сегмента Комиссии интегрированной системы и информации, предоставленной администраторами криптошлюзов;</w:t>
      </w:r>
    </w:p>
    <w:bookmarkEnd w:id="46"/>
    <w:bookmarkStart w:name="z57" w:id="47"/>
    <w:p>
      <w:pPr>
        <w:spacing w:after="0"/>
        <w:ind w:left="0"/>
        <w:jc w:val="both"/>
      </w:pPr>
      <w:r>
        <w:rPr>
          <w:rFonts w:ascii="Times New Roman"/>
          <w:b w:val="false"/>
          <w:i w:val="false"/>
          <w:color w:val="000000"/>
          <w:sz w:val="28"/>
        </w:rPr>
        <w:t>
      д) осуществляет формирование ключевых дистрибутивов для криптошлюзов интеграционного сегмента Комиссии интегрированной системы и криптошлюзов национальных сегментов, входящих в состав защищенной сети передачи данных;</w:t>
      </w:r>
    </w:p>
    <w:bookmarkEnd w:id="47"/>
    <w:bookmarkStart w:name="z58" w:id="48"/>
    <w:p>
      <w:pPr>
        <w:spacing w:after="0"/>
        <w:ind w:left="0"/>
        <w:jc w:val="both"/>
      </w:pPr>
      <w:r>
        <w:rPr>
          <w:rFonts w:ascii="Times New Roman"/>
          <w:b w:val="false"/>
          <w:i w:val="false"/>
          <w:color w:val="000000"/>
          <w:sz w:val="28"/>
        </w:rPr>
        <w:t>
      е) совместно с администраторами криптошлюзов обеспечивает ввод в действие и вывод из обращения криптошлюзов, ключевых блокнотов и ключевых дистрибутивов;</w:t>
      </w:r>
    </w:p>
    <w:bookmarkEnd w:id="48"/>
    <w:bookmarkStart w:name="z59" w:id="49"/>
    <w:p>
      <w:pPr>
        <w:spacing w:after="0"/>
        <w:ind w:left="0"/>
        <w:jc w:val="both"/>
      </w:pPr>
      <w:r>
        <w:rPr>
          <w:rFonts w:ascii="Times New Roman"/>
          <w:b w:val="false"/>
          <w:i w:val="false"/>
          <w:color w:val="000000"/>
          <w:sz w:val="28"/>
        </w:rPr>
        <w:t>
      ж) извещает администраторов криптошлюзов:</w:t>
      </w:r>
    </w:p>
    <w:bookmarkEnd w:id="49"/>
    <w:bookmarkStart w:name="z60" w:id="50"/>
    <w:p>
      <w:pPr>
        <w:spacing w:after="0"/>
        <w:ind w:left="0"/>
        <w:jc w:val="both"/>
      </w:pPr>
      <w:r>
        <w:rPr>
          <w:rFonts w:ascii="Times New Roman"/>
          <w:b w:val="false"/>
          <w:i w:val="false"/>
          <w:color w:val="000000"/>
          <w:sz w:val="28"/>
        </w:rPr>
        <w:t>
      о приостановлении работы защищенной сети передачи данных или отдельных ее сегментов для выполнения плановых (регламентных) профилактических и внеплановых ремонтных работ;</w:t>
      </w:r>
    </w:p>
    <w:bookmarkEnd w:id="50"/>
    <w:bookmarkStart w:name="z61" w:id="51"/>
    <w:p>
      <w:pPr>
        <w:spacing w:after="0"/>
        <w:ind w:left="0"/>
        <w:jc w:val="both"/>
      </w:pPr>
      <w:r>
        <w:rPr>
          <w:rFonts w:ascii="Times New Roman"/>
          <w:b w:val="false"/>
          <w:i w:val="false"/>
          <w:color w:val="000000"/>
          <w:sz w:val="28"/>
        </w:rPr>
        <w:t>
      о приостановлении работы сети защищенной сети передачи данных или отдельных ее сегментов в случае компрометации ключевой информации;</w:t>
      </w:r>
    </w:p>
    <w:bookmarkEnd w:id="51"/>
    <w:bookmarkStart w:name="z62" w:id="52"/>
    <w:p>
      <w:pPr>
        <w:spacing w:after="0"/>
        <w:ind w:left="0"/>
        <w:jc w:val="both"/>
      </w:pPr>
      <w:r>
        <w:rPr>
          <w:rFonts w:ascii="Times New Roman"/>
          <w:b w:val="false"/>
          <w:i w:val="false"/>
          <w:color w:val="000000"/>
          <w:sz w:val="28"/>
        </w:rPr>
        <w:t>
      о возобновлении работы защищенной сети передачи данных или отдельных ее сегментов после реализации мер по восстановлению работоспособности;</w:t>
      </w:r>
    </w:p>
    <w:bookmarkEnd w:id="52"/>
    <w:bookmarkStart w:name="z63" w:id="53"/>
    <w:p>
      <w:pPr>
        <w:spacing w:after="0"/>
        <w:ind w:left="0"/>
        <w:jc w:val="both"/>
      </w:pPr>
      <w:r>
        <w:rPr>
          <w:rFonts w:ascii="Times New Roman"/>
          <w:b w:val="false"/>
          <w:i w:val="false"/>
          <w:color w:val="000000"/>
          <w:sz w:val="28"/>
        </w:rPr>
        <w:t>
      з) обеспечивает эксплуатацию центра управления защищенной сетью в составе интеграционного сегмента Комиссии интегрированной системы в соответствии с технической, эксплуатационной документацией и настоящей Инструкцией;</w:t>
      </w:r>
    </w:p>
    <w:bookmarkEnd w:id="53"/>
    <w:bookmarkStart w:name="z64" w:id="54"/>
    <w:p>
      <w:pPr>
        <w:spacing w:after="0"/>
        <w:ind w:left="0"/>
        <w:jc w:val="both"/>
      </w:pPr>
      <w:r>
        <w:rPr>
          <w:rFonts w:ascii="Times New Roman"/>
          <w:b w:val="false"/>
          <w:i w:val="false"/>
          <w:color w:val="000000"/>
          <w:sz w:val="28"/>
        </w:rPr>
        <w:t>
      и) обеспечивает администрирование и мониторинг функционирования защищенной сети передачи данных;</w:t>
      </w:r>
    </w:p>
    <w:bookmarkEnd w:id="54"/>
    <w:bookmarkStart w:name="z65" w:id="55"/>
    <w:p>
      <w:pPr>
        <w:spacing w:after="0"/>
        <w:ind w:left="0"/>
        <w:jc w:val="both"/>
      </w:pPr>
      <w:r>
        <w:rPr>
          <w:rFonts w:ascii="Times New Roman"/>
          <w:b w:val="false"/>
          <w:i w:val="false"/>
          <w:color w:val="000000"/>
          <w:sz w:val="28"/>
        </w:rPr>
        <w:t>
      к) обеспечивает в рамках своих полномочий, в соответствии с должностной инструкцией защиту центра управления защищенной сетью передачи данных, технической и эксплуатационной документации, ключевых блокнотов и ключевых дистрибутивов от несанкционированного доступа третьих лиц;</w:t>
      </w:r>
    </w:p>
    <w:bookmarkEnd w:id="55"/>
    <w:bookmarkStart w:name="z66" w:id="56"/>
    <w:p>
      <w:pPr>
        <w:spacing w:after="0"/>
        <w:ind w:left="0"/>
        <w:jc w:val="both"/>
      </w:pPr>
      <w:r>
        <w:rPr>
          <w:rFonts w:ascii="Times New Roman"/>
          <w:b w:val="false"/>
          <w:i w:val="false"/>
          <w:color w:val="000000"/>
          <w:sz w:val="28"/>
        </w:rPr>
        <w:t>
      л) принимает необходимые меры для поддержания работоспособности защищенной сети передачи данных;</w:t>
      </w:r>
    </w:p>
    <w:bookmarkEnd w:id="56"/>
    <w:bookmarkStart w:name="z67" w:id="57"/>
    <w:p>
      <w:pPr>
        <w:spacing w:after="0"/>
        <w:ind w:left="0"/>
        <w:jc w:val="both"/>
      </w:pPr>
      <w:r>
        <w:rPr>
          <w:rFonts w:ascii="Times New Roman"/>
          <w:b w:val="false"/>
          <w:i w:val="false"/>
          <w:color w:val="000000"/>
          <w:sz w:val="28"/>
        </w:rPr>
        <w:t>
      м) приостанавливает по согласованию с участниками защищенной сети передачи данных ее функционирование не более чем на 4 часа в месяц для проведения обслуживания технических средств;</w:t>
      </w:r>
    </w:p>
    <w:bookmarkEnd w:id="57"/>
    <w:bookmarkStart w:name="z68" w:id="58"/>
    <w:p>
      <w:pPr>
        <w:spacing w:after="0"/>
        <w:ind w:left="0"/>
        <w:jc w:val="both"/>
      </w:pPr>
      <w:r>
        <w:rPr>
          <w:rFonts w:ascii="Times New Roman"/>
          <w:b w:val="false"/>
          <w:i w:val="false"/>
          <w:color w:val="000000"/>
          <w:sz w:val="28"/>
        </w:rPr>
        <w:t>
      н) принимает меры во взаимодействии с администраторами криптошлюзов по восстановлению работоспособности защищенной сети передачи данных;</w:t>
      </w:r>
    </w:p>
    <w:bookmarkEnd w:id="58"/>
    <w:bookmarkStart w:name="z69" w:id="59"/>
    <w:p>
      <w:pPr>
        <w:spacing w:after="0"/>
        <w:ind w:left="0"/>
        <w:jc w:val="both"/>
      </w:pPr>
      <w:r>
        <w:rPr>
          <w:rFonts w:ascii="Times New Roman"/>
          <w:b w:val="false"/>
          <w:i w:val="false"/>
          <w:color w:val="000000"/>
          <w:sz w:val="28"/>
        </w:rPr>
        <w:t>
      о) осуществляет организацию ремонтно-восстановительных работ оборудования защищенной сети передачи данных и контроль за выполнением профилактических работ;</w:t>
      </w:r>
    </w:p>
    <w:bookmarkEnd w:id="59"/>
    <w:bookmarkStart w:name="z70" w:id="60"/>
    <w:p>
      <w:pPr>
        <w:spacing w:after="0"/>
        <w:ind w:left="0"/>
        <w:jc w:val="both"/>
      </w:pPr>
      <w:r>
        <w:rPr>
          <w:rFonts w:ascii="Times New Roman"/>
          <w:b w:val="false"/>
          <w:i w:val="false"/>
          <w:color w:val="000000"/>
          <w:sz w:val="28"/>
        </w:rPr>
        <w:t>
      п) осуществляет организацию работ по замене неисправных криптошлюзов, владельцем которых является Комиссия, в случае невозможности их ремонта на месте;</w:t>
      </w:r>
    </w:p>
    <w:bookmarkEnd w:id="60"/>
    <w:bookmarkStart w:name="z71" w:id="61"/>
    <w:p>
      <w:pPr>
        <w:spacing w:after="0"/>
        <w:ind w:left="0"/>
        <w:jc w:val="both"/>
      </w:pPr>
      <w:r>
        <w:rPr>
          <w:rFonts w:ascii="Times New Roman"/>
          <w:b w:val="false"/>
          <w:i w:val="false"/>
          <w:color w:val="000000"/>
          <w:sz w:val="28"/>
        </w:rPr>
        <w:t>
      р) подключает к защищенной сети передачи данных новых участников защищенной сети передачи данных в соответствии с настоящей Инструкцией.</w:t>
      </w:r>
    </w:p>
    <w:bookmarkEnd w:id="61"/>
    <w:bookmarkStart w:name="z72" w:id="62"/>
    <w:p>
      <w:pPr>
        <w:spacing w:after="0"/>
        <w:ind w:left="0"/>
        <w:jc w:val="both"/>
      </w:pPr>
      <w:r>
        <w:rPr>
          <w:rFonts w:ascii="Times New Roman"/>
          <w:b w:val="false"/>
          <w:i w:val="false"/>
          <w:color w:val="000000"/>
          <w:sz w:val="28"/>
        </w:rPr>
        <w:t>
      15. Администратор криптошлюзов выполняет следующие функции:</w:t>
      </w:r>
    </w:p>
    <w:bookmarkEnd w:id="62"/>
    <w:bookmarkStart w:name="z73" w:id="63"/>
    <w:p>
      <w:pPr>
        <w:spacing w:after="0"/>
        <w:ind w:left="0"/>
        <w:jc w:val="both"/>
      </w:pPr>
      <w:r>
        <w:rPr>
          <w:rFonts w:ascii="Times New Roman"/>
          <w:b w:val="false"/>
          <w:i w:val="false"/>
          <w:color w:val="000000"/>
          <w:sz w:val="28"/>
        </w:rPr>
        <w:t>
      а) совместно с администратором защищенной сети передачи данных выполняет ввод в действие криптошлюзов, ключевых блокнотов и ключевых дистрибутивов;</w:t>
      </w:r>
    </w:p>
    <w:bookmarkEnd w:id="63"/>
    <w:bookmarkStart w:name="z74" w:id="64"/>
    <w:p>
      <w:pPr>
        <w:spacing w:after="0"/>
        <w:ind w:left="0"/>
        <w:jc w:val="both"/>
      </w:pPr>
      <w:r>
        <w:rPr>
          <w:rFonts w:ascii="Times New Roman"/>
          <w:b w:val="false"/>
          <w:i w:val="false"/>
          <w:color w:val="000000"/>
          <w:sz w:val="28"/>
        </w:rPr>
        <w:t>
      б) обеспечивают контроль за техническим состоянием криптошлюзов;</w:t>
      </w:r>
    </w:p>
    <w:bookmarkEnd w:id="64"/>
    <w:bookmarkStart w:name="z75" w:id="65"/>
    <w:p>
      <w:pPr>
        <w:spacing w:after="0"/>
        <w:ind w:left="0"/>
        <w:jc w:val="both"/>
      </w:pPr>
      <w:r>
        <w:rPr>
          <w:rFonts w:ascii="Times New Roman"/>
          <w:b w:val="false"/>
          <w:i w:val="false"/>
          <w:color w:val="000000"/>
          <w:sz w:val="28"/>
        </w:rPr>
        <w:t>
      в) принимает необходимые меры для поддержания работоспособности криптошлюзов 365 дней в году, 7 дней в неделю и 24 часа в сутки;</w:t>
      </w:r>
    </w:p>
    <w:bookmarkEnd w:id="65"/>
    <w:bookmarkStart w:name="z76" w:id="66"/>
    <w:p>
      <w:pPr>
        <w:spacing w:after="0"/>
        <w:ind w:left="0"/>
        <w:jc w:val="both"/>
      </w:pPr>
      <w:r>
        <w:rPr>
          <w:rFonts w:ascii="Times New Roman"/>
          <w:b w:val="false"/>
          <w:i w:val="false"/>
          <w:color w:val="000000"/>
          <w:sz w:val="28"/>
        </w:rPr>
        <w:t>
      г) обеспечивает обновление программного обеспечения криптошлюзов по согласованию с администратором защищенной сети передачи данных;</w:t>
      </w:r>
    </w:p>
    <w:bookmarkEnd w:id="66"/>
    <w:bookmarkStart w:name="z77" w:id="67"/>
    <w:p>
      <w:pPr>
        <w:spacing w:after="0"/>
        <w:ind w:left="0"/>
        <w:jc w:val="both"/>
      </w:pPr>
      <w:r>
        <w:rPr>
          <w:rFonts w:ascii="Times New Roman"/>
          <w:b w:val="false"/>
          <w:i w:val="false"/>
          <w:color w:val="000000"/>
          <w:sz w:val="28"/>
        </w:rPr>
        <w:t>
      д) осуществляет управление правилами сетевого доступа из защищенной сети передачи данных в национальный сегмент интегрированной системы участника защищенной сети передачи данных;</w:t>
      </w:r>
    </w:p>
    <w:bookmarkEnd w:id="67"/>
    <w:bookmarkStart w:name="z78" w:id="68"/>
    <w:p>
      <w:pPr>
        <w:spacing w:after="0"/>
        <w:ind w:left="0"/>
        <w:jc w:val="both"/>
      </w:pPr>
      <w:r>
        <w:rPr>
          <w:rFonts w:ascii="Times New Roman"/>
          <w:b w:val="false"/>
          <w:i w:val="false"/>
          <w:color w:val="000000"/>
          <w:sz w:val="28"/>
        </w:rPr>
        <w:t>
      е) по согласованию и совместно с администратором защищенной сети передачи данных выполняет ввод в действие новых серий ключевых блокнотов;</w:t>
      </w:r>
    </w:p>
    <w:bookmarkEnd w:id="68"/>
    <w:bookmarkStart w:name="z79" w:id="69"/>
    <w:p>
      <w:pPr>
        <w:spacing w:after="0"/>
        <w:ind w:left="0"/>
        <w:jc w:val="both"/>
      </w:pPr>
      <w:r>
        <w:rPr>
          <w:rFonts w:ascii="Times New Roman"/>
          <w:b w:val="false"/>
          <w:i w:val="false"/>
          <w:color w:val="000000"/>
          <w:sz w:val="28"/>
        </w:rPr>
        <w:t>
      ж) информирует администратора защищенной сети передачи данных о неисправности криптошлюзов;</w:t>
      </w:r>
    </w:p>
    <w:bookmarkEnd w:id="69"/>
    <w:bookmarkStart w:name="z80" w:id="70"/>
    <w:p>
      <w:pPr>
        <w:spacing w:after="0"/>
        <w:ind w:left="0"/>
        <w:jc w:val="both"/>
      </w:pPr>
      <w:r>
        <w:rPr>
          <w:rFonts w:ascii="Times New Roman"/>
          <w:b w:val="false"/>
          <w:i w:val="false"/>
          <w:color w:val="000000"/>
          <w:sz w:val="28"/>
        </w:rPr>
        <w:t>
      з) приостанавливает работу криптошлюзов по согласованию с администратором защищенной сети передачи данных для проведения обслуживания технических средств;</w:t>
      </w:r>
    </w:p>
    <w:bookmarkEnd w:id="70"/>
    <w:bookmarkStart w:name="z81" w:id="71"/>
    <w:p>
      <w:pPr>
        <w:spacing w:after="0"/>
        <w:ind w:left="0"/>
        <w:jc w:val="both"/>
      </w:pPr>
      <w:r>
        <w:rPr>
          <w:rFonts w:ascii="Times New Roman"/>
          <w:b w:val="false"/>
          <w:i w:val="false"/>
          <w:color w:val="000000"/>
          <w:sz w:val="28"/>
        </w:rPr>
        <w:t>
      и) приостанавливает работу криптошлюзов по согласованию с администратором защищенной сети передачи данных для проведения ремонтно-восстановительных работ;</w:t>
      </w:r>
    </w:p>
    <w:bookmarkEnd w:id="71"/>
    <w:bookmarkStart w:name="z82" w:id="72"/>
    <w:p>
      <w:pPr>
        <w:spacing w:after="0"/>
        <w:ind w:left="0"/>
        <w:jc w:val="both"/>
      </w:pPr>
      <w:r>
        <w:rPr>
          <w:rFonts w:ascii="Times New Roman"/>
          <w:b w:val="false"/>
          <w:i w:val="false"/>
          <w:color w:val="000000"/>
          <w:sz w:val="28"/>
        </w:rPr>
        <w:t>
      к) осуществляет контроль за выполнением регламентных профилактических работ;</w:t>
      </w:r>
    </w:p>
    <w:bookmarkEnd w:id="72"/>
    <w:bookmarkStart w:name="z83" w:id="73"/>
    <w:p>
      <w:pPr>
        <w:spacing w:after="0"/>
        <w:ind w:left="0"/>
        <w:jc w:val="both"/>
      </w:pPr>
      <w:r>
        <w:rPr>
          <w:rFonts w:ascii="Times New Roman"/>
          <w:b w:val="false"/>
          <w:i w:val="false"/>
          <w:color w:val="000000"/>
          <w:sz w:val="28"/>
        </w:rPr>
        <w:t>
      л) оповещает уполномоченный орган, орган криптографической защиты информации и администратора защищенной сети передачи данных о факте компрометации ключевых блокнотов и ключевых дистрибутивов;</w:t>
      </w:r>
    </w:p>
    <w:bookmarkEnd w:id="73"/>
    <w:bookmarkStart w:name="z84" w:id="74"/>
    <w:p>
      <w:pPr>
        <w:spacing w:after="0"/>
        <w:ind w:left="0"/>
        <w:jc w:val="both"/>
      </w:pPr>
      <w:r>
        <w:rPr>
          <w:rFonts w:ascii="Times New Roman"/>
          <w:b w:val="false"/>
          <w:i w:val="false"/>
          <w:color w:val="000000"/>
          <w:sz w:val="28"/>
        </w:rPr>
        <w:t>
      м) приостанавливает работу криптошлюзов по согласованию с администратором защищенной сети передачи данных в случае компрометации ключевых блокнотов, ключевых дистрибутивов;</w:t>
      </w:r>
    </w:p>
    <w:bookmarkEnd w:id="74"/>
    <w:bookmarkStart w:name="z85" w:id="75"/>
    <w:p>
      <w:pPr>
        <w:spacing w:after="0"/>
        <w:ind w:left="0"/>
        <w:jc w:val="both"/>
      </w:pPr>
      <w:r>
        <w:rPr>
          <w:rFonts w:ascii="Times New Roman"/>
          <w:b w:val="false"/>
          <w:i w:val="false"/>
          <w:color w:val="000000"/>
          <w:sz w:val="28"/>
        </w:rPr>
        <w:t>
      н) осуществляет организацию работ по восстановлению работоспособности криптошлюзов и защищенной сети передачи данных;</w:t>
      </w:r>
    </w:p>
    <w:bookmarkEnd w:id="75"/>
    <w:bookmarkStart w:name="z86" w:id="76"/>
    <w:p>
      <w:pPr>
        <w:spacing w:after="0"/>
        <w:ind w:left="0"/>
        <w:jc w:val="both"/>
      </w:pPr>
      <w:r>
        <w:rPr>
          <w:rFonts w:ascii="Times New Roman"/>
          <w:b w:val="false"/>
          <w:i w:val="false"/>
          <w:color w:val="000000"/>
          <w:sz w:val="28"/>
        </w:rPr>
        <w:t>
      о) обеспечивает в рамках своих полномочий, определенных должностным регламентом, защиту криптошлюзов, технической и эксплуатационной документации, ключевых блокнотов и ключевых дистрибутивов от несанкционированного доступа третьих лиц.</w:t>
      </w:r>
    </w:p>
    <w:bookmarkEnd w:id="76"/>
    <w:bookmarkStart w:name="z87" w:id="77"/>
    <w:p>
      <w:pPr>
        <w:spacing w:after="0"/>
        <w:ind w:left="0"/>
        <w:jc w:val="both"/>
      </w:pPr>
      <w:r>
        <w:rPr>
          <w:rFonts w:ascii="Times New Roman"/>
          <w:b w:val="false"/>
          <w:i w:val="false"/>
          <w:color w:val="000000"/>
          <w:sz w:val="28"/>
        </w:rPr>
        <w:t>
      16. Участники защищенной сети передачи данных выполняют следующие функции:</w:t>
      </w:r>
    </w:p>
    <w:bookmarkEnd w:id="77"/>
    <w:bookmarkStart w:name="z88" w:id="78"/>
    <w:p>
      <w:pPr>
        <w:spacing w:after="0"/>
        <w:ind w:left="0"/>
        <w:jc w:val="both"/>
      </w:pPr>
      <w:r>
        <w:rPr>
          <w:rFonts w:ascii="Times New Roman"/>
          <w:b w:val="false"/>
          <w:i w:val="false"/>
          <w:color w:val="000000"/>
          <w:sz w:val="28"/>
        </w:rPr>
        <w:t>
      а) из числа своих работников назначают администраторов криптошлюзов;</w:t>
      </w:r>
    </w:p>
    <w:bookmarkEnd w:id="78"/>
    <w:bookmarkStart w:name="z89" w:id="79"/>
    <w:p>
      <w:pPr>
        <w:spacing w:after="0"/>
        <w:ind w:left="0"/>
        <w:jc w:val="both"/>
      </w:pPr>
      <w:r>
        <w:rPr>
          <w:rFonts w:ascii="Times New Roman"/>
          <w:b w:val="false"/>
          <w:i w:val="false"/>
          <w:color w:val="000000"/>
          <w:sz w:val="28"/>
        </w:rPr>
        <w:t>
      б) информируют орган криптографической защиты информации о вновь назначенных администраторах криптошлюзов, их контактных данных;</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обеспечивают получение и размещение на своей территории криптошлюзов в соответствии с требованиями настоящей Инструкции, подключение их к источнику бесперебойного электропитания, а также сетевую связность с магистральной телекоммуникационной сетью, интеграционным шлюзом, доверенной третьей стороной и источником точного времени интеграционного сегмента Комиссии интегрированной системы или национального сегмента интегрированной системы;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получают доступ к защищенной сети передачи данных в соответствии с условиями подключения согласно разделу V настоящей Инструкции;</w:t>
      </w:r>
    </w:p>
    <w:bookmarkStart w:name="z92" w:id="80"/>
    <w:p>
      <w:pPr>
        <w:spacing w:after="0"/>
        <w:ind w:left="0"/>
        <w:jc w:val="both"/>
      </w:pPr>
      <w:r>
        <w:rPr>
          <w:rFonts w:ascii="Times New Roman"/>
          <w:b w:val="false"/>
          <w:i w:val="false"/>
          <w:color w:val="000000"/>
          <w:sz w:val="28"/>
        </w:rPr>
        <w:t>
      д) обеспечивают получение в органе криптографической защиты информации ключевых блокнотов и ключевых дистрибутивов;</w:t>
      </w:r>
    </w:p>
    <w:bookmarkEnd w:id="80"/>
    <w:bookmarkStart w:name="z93" w:id="81"/>
    <w:p>
      <w:pPr>
        <w:spacing w:after="0"/>
        <w:ind w:left="0"/>
        <w:jc w:val="both"/>
      </w:pPr>
      <w:r>
        <w:rPr>
          <w:rFonts w:ascii="Times New Roman"/>
          <w:b w:val="false"/>
          <w:i w:val="false"/>
          <w:color w:val="000000"/>
          <w:sz w:val="28"/>
        </w:rPr>
        <w:t>
      е) обеспечивают поэкземплярный учет криптошлюзов, ключевых блокнотов и ключевых дистрибутивов;</w:t>
      </w:r>
    </w:p>
    <w:bookmarkEnd w:id="81"/>
    <w:bookmarkStart w:name="z94" w:id="82"/>
    <w:p>
      <w:pPr>
        <w:spacing w:after="0"/>
        <w:ind w:left="0"/>
        <w:jc w:val="both"/>
      </w:pPr>
      <w:r>
        <w:rPr>
          <w:rFonts w:ascii="Times New Roman"/>
          <w:b w:val="false"/>
          <w:i w:val="false"/>
          <w:color w:val="000000"/>
          <w:sz w:val="28"/>
        </w:rPr>
        <w:t>
      ж) обеспечивают возврат неиспользованных или выведенных из действия ключевых блокнотов и ключевых дистрибутивов в орган криптографической защиты информации или по его распоряжению обеспечивают их уничтожение на месте;</w:t>
      </w:r>
    </w:p>
    <w:bookmarkEnd w:id="82"/>
    <w:bookmarkStart w:name="z95" w:id="83"/>
    <w:p>
      <w:pPr>
        <w:spacing w:after="0"/>
        <w:ind w:left="0"/>
        <w:jc w:val="both"/>
      </w:pPr>
      <w:r>
        <w:rPr>
          <w:rFonts w:ascii="Times New Roman"/>
          <w:b w:val="false"/>
          <w:i w:val="false"/>
          <w:color w:val="000000"/>
          <w:sz w:val="28"/>
        </w:rPr>
        <w:t>
      з) обеспечивают контроль за техническим состоянием криптошлюзов.</w:t>
      </w:r>
    </w:p>
    <w:bookmarkEnd w:id="83"/>
    <w:bookmarkStart w:name="z96" w:id="84"/>
    <w:p>
      <w:pPr>
        <w:spacing w:after="0"/>
        <w:ind w:left="0"/>
        <w:jc w:val="left"/>
      </w:pPr>
      <w:r>
        <w:rPr>
          <w:rFonts w:ascii="Times New Roman"/>
          <w:b/>
          <w:i w:val="false"/>
          <w:color w:val="000000"/>
        </w:rPr>
        <w:t xml:space="preserve"> Условия и порядок подключения криптошлюзов к защищенной сети передачи данных</w:t>
      </w:r>
    </w:p>
    <w:bookmarkEnd w:id="84"/>
    <w:bookmarkStart w:name="z97" w:id="85"/>
    <w:p>
      <w:pPr>
        <w:spacing w:after="0"/>
        <w:ind w:left="0"/>
        <w:jc w:val="both"/>
      </w:pPr>
      <w:r>
        <w:rPr>
          <w:rFonts w:ascii="Times New Roman"/>
          <w:b w:val="false"/>
          <w:i w:val="false"/>
          <w:color w:val="000000"/>
          <w:sz w:val="28"/>
        </w:rPr>
        <w:t xml:space="preserve">
      17. Условиями подключения криптошлюзов к защищенной сети передачи данных являются: </w:t>
      </w:r>
    </w:p>
    <w:bookmarkEnd w:id="85"/>
    <w:bookmarkStart w:name="z98" w:id="86"/>
    <w:p>
      <w:pPr>
        <w:spacing w:after="0"/>
        <w:ind w:left="0"/>
        <w:jc w:val="both"/>
      </w:pPr>
      <w:r>
        <w:rPr>
          <w:rFonts w:ascii="Times New Roman"/>
          <w:b w:val="false"/>
          <w:i w:val="false"/>
          <w:color w:val="000000"/>
          <w:sz w:val="28"/>
        </w:rPr>
        <w:t>
      а) наличие у участника защищенной сети передачи данных криптошлюзов, соответствующих настоящей Инструкции;</w:t>
      </w:r>
    </w:p>
    <w:bookmarkEnd w:id="86"/>
    <w:bookmarkStart w:name="z99" w:id="87"/>
    <w:p>
      <w:pPr>
        <w:spacing w:after="0"/>
        <w:ind w:left="0"/>
        <w:jc w:val="both"/>
      </w:pPr>
      <w:r>
        <w:rPr>
          <w:rFonts w:ascii="Times New Roman"/>
          <w:b w:val="false"/>
          <w:i w:val="false"/>
          <w:color w:val="000000"/>
          <w:sz w:val="28"/>
        </w:rPr>
        <w:t>
      б) наличие у участника защищенной сети передачи данных лиц, ответственных за обеспечение эксплуатации и безопасности криптошлюзов, обученных правилам работы с ними в соответствии с технической и эксплуатационной документацией на криптошлюзы и настоящей Инструкцией;</w:t>
      </w:r>
    </w:p>
    <w:bookmarkEnd w:id="87"/>
    <w:bookmarkStart w:name="z100" w:id="88"/>
    <w:p>
      <w:pPr>
        <w:spacing w:after="0"/>
        <w:ind w:left="0"/>
        <w:jc w:val="both"/>
      </w:pPr>
      <w:r>
        <w:rPr>
          <w:rFonts w:ascii="Times New Roman"/>
          <w:b w:val="false"/>
          <w:i w:val="false"/>
          <w:color w:val="000000"/>
          <w:sz w:val="28"/>
        </w:rPr>
        <w:t>
      в) наличие у участника защищенной сети передачи данных помещений для размещения криптошлюзов, соответствующих требованиям настоящей Инструкции;</w:t>
      </w:r>
    </w:p>
    <w:bookmarkEnd w:id="88"/>
    <w:bookmarkStart w:name="z101" w:id="89"/>
    <w:p>
      <w:pPr>
        <w:spacing w:after="0"/>
        <w:ind w:left="0"/>
        <w:jc w:val="both"/>
      </w:pPr>
      <w:r>
        <w:rPr>
          <w:rFonts w:ascii="Times New Roman"/>
          <w:b w:val="false"/>
          <w:i w:val="false"/>
          <w:color w:val="000000"/>
          <w:sz w:val="28"/>
        </w:rPr>
        <w:t>
      г) наличие у участника защищенной сети передачи данных условий для обеспечения сохранности криптошлюзов, а также защиты их, ключевых блокнотов и ключевых дистрибутивов от несанкционированного доступа третьих лиц.</w:t>
      </w:r>
    </w:p>
    <w:bookmarkEnd w:id="89"/>
    <w:bookmarkStart w:name="z102" w:id="90"/>
    <w:p>
      <w:pPr>
        <w:spacing w:after="0"/>
        <w:ind w:left="0"/>
        <w:jc w:val="both"/>
      </w:pPr>
      <w:r>
        <w:rPr>
          <w:rFonts w:ascii="Times New Roman"/>
          <w:b w:val="false"/>
          <w:i w:val="false"/>
          <w:color w:val="000000"/>
          <w:sz w:val="28"/>
        </w:rPr>
        <w:t>
      18. Передача участникам защищенной сети передачи данных криптошлюзов, владельцем которых является Комиссия, осуществляется на основании договора (соглашения).</w:t>
      </w:r>
    </w:p>
    <w:bookmarkEnd w:id="90"/>
    <w:bookmarkStart w:name="z103" w:id="91"/>
    <w:p>
      <w:pPr>
        <w:spacing w:after="0"/>
        <w:ind w:left="0"/>
        <w:jc w:val="both"/>
      </w:pPr>
      <w:r>
        <w:rPr>
          <w:rFonts w:ascii="Times New Roman"/>
          <w:b w:val="false"/>
          <w:i w:val="false"/>
          <w:color w:val="000000"/>
          <w:sz w:val="28"/>
        </w:rPr>
        <w:t>
      Передача криптошлюзов за пределы государства пребывания Комиссии до места получения их участником защищенной сети передачи данных осуществляется организацией – участником внешнеэкономической деятельности Российской Федерации, уполномоченной в установленном порядке на осуществление экспорта товаров двойного назначения.</w:t>
      </w:r>
    </w:p>
    <w:bookmarkEnd w:id="91"/>
    <w:bookmarkStart w:name="z104" w:id="92"/>
    <w:p>
      <w:pPr>
        <w:spacing w:after="0"/>
        <w:ind w:left="0"/>
        <w:jc w:val="both"/>
      </w:pPr>
      <w:r>
        <w:rPr>
          <w:rFonts w:ascii="Times New Roman"/>
          <w:b w:val="false"/>
          <w:i w:val="false"/>
          <w:color w:val="000000"/>
          <w:sz w:val="28"/>
        </w:rPr>
        <w:t>
      Оформление импорта криптошлюзов, включая разрешение на ввоз на территорию государства – члена Союза, осуществляется участником защищенной сети передачи данных в соответствии с требованиями законодательства государства – члена Союза.</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Подключение к защищенной сети передачи данных осуществляется на основании заявления, направляемого участником защищенной сети передачи данных в Комиссию по форме согласно </w:t>
      </w:r>
      <w:r>
        <w:rPr>
          <w:rFonts w:ascii="Times New Roman"/>
          <w:b w:val="false"/>
          <w:i w:val="false"/>
          <w:color w:val="000000"/>
          <w:sz w:val="28"/>
        </w:rPr>
        <w:t>приложению № 1</w:t>
      </w:r>
      <w:r>
        <w:rPr>
          <w:rFonts w:ascii="Times New Roman"/>
          <w:b w:val="false"/>
          <w:i w:val="false"/>
          <w:color w:val="000000"/>
          <w:sz w:val="28"/>
        </w:rPr>
        <w:t>.</w:t>
      </w:r>
    </w:p>
    <w:bookmarkStart w:name="z106" w:id="93"/>
    <w:p>
      <w:pPr>
        <w:spacing w:after="0"/>
        <w:ind w:left="0"/>
        <w:jc w:val="both"/>
      </w:pPr>
      <w:r>
        <w:rPr>
          <w:rFonts w:ascii="Times New Roman"/>
          <w:b w:val="false"/>
          <w:i w:val="false"/>
          <w:color w:val="000000"/>
          <w:sz w:val="28"/>
        </w:rPr>
        <w:t>
      20. Настройка и конфигурирование криптошлюзов обеспечивается администратором защищенной сети передачи данных.</w:t>
      </w:r>
    </w:p>
    <w:bookmarkEnd w:id="93"/>
    <w:bookmarkStart w:name="z107" w:id="94"/>
    <w:p>
      <w:pPr>
        <w:spacing w:after="0"/>
        <w:ind w:left="0"/>
        <w:jc w:val="both"/>
      </w:pPr>
      <w:r>
        <w:rPr>
          <w:rFonts w:ascii="Times New Roman"/>
          <w:b w:val="false"/>
          <w:i w:val="false"/>
          <w:color w:val="000000"/>
          <w:sz w:val="28"/>
        </w:rPr>
        <w:t>
      21. Подключение к защищенной сети передачи данных оформляется актом, подписываемым администратором и участником защищенной сети передачи данных в 2 экземплярах, по одному для каждой из сторон.</w:t>
      </w:r>
    </w:p>
    <w:bookmarkEnd w:id="94"/>
    <w:bookmarkStart w:name="z108" w:id="95"/>
    <w:p>
      <w:pPr>
        <w:spacing w:after="0"/>
        <w:ind w:left="0"/>
        <w:jc w:val="both"/>
      </w:pPr>
      <w:r>
        <w:rPr>
          <w:rFonts w:ascii="Times New Roman"/>
          <w:b w:val="false"/>
          <w:i w:val="false"/>
          <w:color w:val="000000"/>
          <w:sz w:val="28"/>
        </w:rPr>
        <w:t>
      22. Не допускается применение ключевых блокнотов и ключевых дистрибутивов до получения соответствующих указаний администратора защищенной сети передачи данных.</w:t>
      </w:r>
    </w:p>
    <w:bookmarkEnd w:id="95"/>
    <w:bookmarkStart w:name="z109" w:id="96"/>
    <w:p>
      <w:pPr>
        <w:spacing w:after="0"/>
        <w:ind w:left="0"/>
        <w:jc w:val="left"/>
      </w:pPr>
      <w:r>
        <w:rPr>
          <w:rFonts w:ascii="Times New Roman"/>
          <w:b/>
          <w:i w:val="false"/>
          <w:color w:val="000000"/>
        </w:rPr>
        <w:t xml:space="preserve"> Требования к транспортировке криптошлюзов, ключевых блокнотов и ключевых дистрибутивов</w:t>
      </w:r>
    </w:p>
    <w:bookmarkEnd w:id="96"/>
    <w:bookmarkStart w:name="z110" w:id="97"/>
    <w:p>
      <w:pPr>
        <w:spacing w:after="0"/>
        <w:ind w:left="0"/>
        <w:jc w:val="both"/>
      </w:pPr>
      <w:r>
        <w:rPr>
          <w:rFonts w:ascii="Times New Roman"/>
          <w:b w:val="false"/>
          <w:i w:val="false"/>
          <w:color w:val="000000"/>
          <w:sz w:val="28"/>
        </w:rPr>
        <w:t>
      23. Криптошлюзы подлежат транспортировке отдельно от ключевых блокнотов и ключевых дистрибутивов. Не допускается перемещение криптошлюзов с установленными ключевыми дистрибутивами за пределы контролируемой зоны.</w:t>
      </w:r>
    </w:p>
    <w:bookmarkEnd w:id="97"/>
    <w:bookmarkStart w:name="z111" w:id="98"/>
    <w:p>
      <w:pPr>
        <w:spacing w:after="0"/>
        <w:ind w:left="0"/>
        <w:jc w:val="both"/>
      </w:pPr>
      <w:r>
        <w:rPr>
          <w:rFonts w:ascii="Times New Roman"/>
          <w:b w:val="false"/>
          <w:i w:val="false"/>
          <w:color w:val="000000"/>
          <w:sz w:val="28"/>
        </w:rPr>
        <w:t>
      24. Криптошлюзы должны быть оборудованы средствами контроля вскрытия их корпуса (опечатывание, опломбирование).</w:t>
      </w:r>
    </w:p>
    <w:bookmarkEnd w:id="98"/>
    <w:bookmarkStart w:name="z112" w:id="99"/>
    <w:p>
      <w:pPr>
        <w:spacing w:after="0"/>
        <w:ind w:left="0"/>
        <w:jc w:val="both"/>
      </w:pPr>
      <w:r>
        <w:rPr>
          <w:rFonts w:ascii="Times New Roman"/>
          <w:b w:val="false"/>
          <w:i w:val="false"/>
          <w:color w:val="000000"/>
          <w:sz w:val="28"/>
        </w:rPr>
        <w:t xml:space="preserve">
      25. Полученные упаковки с криптошлюзами вскрываются непосредственно лицами, ответственными за их эксплуатацию и безопасность. </w:t>
      </w:r>
    </w:p>
    <w:bookmarkEnd w:id="99"/>
    <w:bookmarkStart w:name="z113" w:id="100"/>
    <w:p>
      <w:pPr>
        <w:spacing w:after="0"/>
        <w:ind w:left="0"/>
        <w:jc w:val="both"/>
      </w:pPr>
      <w:r>
        <w:rPr>
          <w:rFonts w:ascii="Times New Roman"/>
          <w:b w:val="false"/>
          <w:i w:val="false"/>
          <w:color w:val="000000"/>
          <w:sz w:val="28"/>
        </w:rPr>
        <w:t>
      Если содержимое полученной упаковки не соответствует указанному в сопроводительном письме или упаковка и печать их описанию (оттиску), а также если упаковка повреждена, в результате чего образовался свободный доступ к ее содержимому, или обнаружено вскрытие корпуса криптошлюза, составляется акт, который направляется в орган криптографической защиты информации.</w:t>
      </w:r>
    </w:p>
    <w:bookmarkEnd w:id="100"/>
    <w:bookmarkStart w:name="z114" w:id="101"/>
    <w:p>
      <w:pPr>
        <w:spacing w:after="0"/>
        <w:ind w:left="0"/>
        <w:jc w:val="both"/>
      </w:pPr>
      <w:r>
        <w:rPr>
          <w:rFonts w:ascii="Times New Roman"/>
          <w:b w:val="false"/>
          <w:i w:val="false"/>
          <w:color w:val="000000"/>
          <w:sz w:val="28"/>
        </w:rPr>
        <w:t>
      26. Доставка ключевых блокнотов и ключевых дистрибутивов может осуществляется фельдъегерской связью или уполномоченным представителем участника защищенной сети передачи данных при соблюдении мер, исключающих бесконтрольный доступ к ним во время доставки.</w:t>
      </w:r>
    </w:p>
    <w:bookmarkEnd w:id="101"/>
    <w:bookmarkStart w:name="z115" w:id="102"/>
    <w:p>
      <w:pPr>
        <w:spacing w:after="0"/>
        <w:ind w:left="0"/>
        <w:jc w:val="both"/>
      </w:pPr>
      <w:r>
        <w:rPr>
          <w:rFonts w:ascii="Times New Roman"/>
          <w:b w:val="false"/>
          <w:i w:val="false"/>
          <w:color w:val="000000"/>
          <w:sz w:val="28"/>
        </w:rPr>
        <w:t>
      27. Для транспортировки ключевые блокноты и материальные носители ключевых дистрибутивов помещаются в прочную упаковку, исключающую возможность их физического повреждения. Упаковки опечатывают таким образом, чтобы исключить возможность извлечения из них содержимого без нарушения целостности упаковки и оттисков печати или контрольной пломбы.</w:t>
      </w:r>
    </w:p>
    <w:bookmarkEnd w:id="102"/>
    <w:bookmarkStart w:name="z116" w:id="103"/>
    <w:p>
      <w:pPr>
        <w:spacing w:after="0"/>
        <w:ind w:left="0"/>
        <w:jc w:val="both"/>
      </w:pPr>
      <w:r>
        <w:rPr>
          <w:rFonts w:ascii="Times New Roman"/>
          <w:b w:val="false"/>
          <w:i w:val="false"/>
          <w:color w:val="000000"/>
          <w:sz w:val="28"/>
        </w:rPr>
        <w:t>
      28. Для пересылки криптошлюзов, технической и эксплуатационной документации к ним, ключевых блокнотов и ключевых дистрибутивов составляется опись вложений, в которой указывается: что посылается и в каком количестве, учетные номера криптошлюзов, ключевых блокнотов и материальных носителей ключевых дистрибутивов, а также при необходимости порядок использования высылаемого отправления. Опись вкладывается в упаковку.</w:t>
      </w:r>
    </w:p>
    <w:bookmarkEnd w:id="103"/>
    <w:bookmarkStart w:name="z117" w:id="104"/>
    <w:p>
      <w:pPr>
        <w:spacing w:after="0"/>
        <w:ind w:left="0"/>
        <w:jc w:val="both"/>
      </w:pPr>
      <w:r>
        <w:rPr>
          <w:rFonts w:ascii="Times New Roman"/>
          <w:b w:val="false"/>
          <w:i w:val="false"/>
          <w:color w:val="000000"/>
          <w:sz w:val="28"/>
        </w:rPr>
        <w:t>
      29. Отправление принимается администратором криптошлюзов, осуществляется сверка вложений по описи с последующей регистрацией в журнале поэкземплярного средств криптографической защиты информации учета участника защищенной сети передачи данных.</w:t>
      </w:r>
    </w:p>
    <w:bookmarkEnd w:id="104"/>
    <w:bookmarkStart w:name="z118" w:id="105"/>
    <w:p>
      <w:pPr>
        <w:spacing w:after="0"/>
        <w:ind w:left="0"/>
        <w:jc w:val="both"/>
      </w:pPr>
      <w:r>
        <w:rPr>
          <w:rFonts w:ascii="Times New Roman"/>
          <w:b w:val="false"/>
          <w:i w:val="false"/>
          <w:color w:val="000000"/>
          <w:sz w:val="28"/>
        </w:rPr>
        <w:t>
      30. В случае обнаружения администратором криптошлюзов бракованных ключевых блокнотов и (или) ключевых дистрибутивов они возвращаются в орган криптографической защиты информации для уничтожения.</w:t>
      </w:r>
    </w:p>
    <w:bookmarkEnd w:id="105"/>
    <w:bookmarkStart w:name="z119" w:id="106"/>
    <w:p>
      <w:pPr>
        <w:spacing w:after="0"/>
        <w:ind w:left="0"/>
        <w:jc w:val="left"/>
      </w:pPr>
      <w:r>
        <w:rPr>
          <w:rFonts w:ascii="Times New Roman"/>
          <w:b/>
          <w:i w:val="false"/>
          <w:color w:val="000000"/>
        </w:rPr>
        <w:t xml:space="preserve"> Требования к размещению центра управления защищенной сетью передачи данных и криптошлюзов</w:t>
      </w:r>
    </w:p>
    <w:bookmarkEnd w:id="106"/>
    <w:bookmarkStart w:name="z120" w:id="107"/>
    <w:p>
      <w:pPr>
        <w:spacing w:after="0"/>
        <w:ind w:left="0"/>
        <w:jc w:val="both"/>
      </w:pPr>
      <w:r>
        <w:rPr>
          <w:rFonts w:ascii="Times New Roman"/>
          <w:b w:val="false"/>
          <w:i w:val="false"/>
          <w:color w:val="000000"/>
          <w:sz w:val="28"/>
        </w:rPr>
        <w:t>
      31. Размещение, специальное оборудование, охрана и организация режима в помещениях, где установлены средства центра управления защищенной сетью передачи данных и (или) криптошлюзы (далее – помещения), должны обеспечивать безопасность оборудования и криптографических ключей.</w:t>
      </w:r>
    </w:p>
    <w:bookmarkEnd w:id="107"/>
    <w:bookmarkStart w:name="z121" w:id="108"/>
    <w:p>
      <w:pPr>
        <w:spacing w:after="0"/>
        <w:ind w:left="0"/>
        <w:jc w:val="both"/>
      </w:pPr>
      <w:r>
        <w:rPr>
          <w:rFonts w:ascii="Times New Roman"/>
          <w:b w:val="false"/>
          <w:i w:val="false"/>
          <w:color w:val="000000"/>
          <w:sz w:val="28"/>
        </w:rPr>
        <w:t>
      32. При оборудовании помещений должны выполняться требования законодательства государства – члена Союза, в котором находятся помещения, к размещению, монтажу средств криптографической защиты информации, а также другого оборудования, функционирующего совместно со средствами криптографической защиты информации.</w:t>
      </w:r>
    </w:p>
    <w:bookmarkEnd w:id="108"/>
    <w:bookmarkStart w:name="z122" w:id="109"/>
    <w:p>
      <w:pPr>
        <w:spacing w:after="0"/>
        <w:ind w:left="0"/>
        <w:jc w:val="both"/>
      </w:pPr>
      <w:r>
        <w:rPr>
          <w:rFonts w:ascii="Times New Roman"/>
          <w:b w:val="false"/>
          <w:i w:val="false"/>
          <w:color w:val="000000"/>
          <w:sz w:val="28"/>
        </w:rPr>
        <w:t>
      33. Помещения выделяют с учетом размеров контролируемых зон, регламентированных технической и эксплуатационной документацией на средства центра управления защищенной сетью передачи данных и (или) криптошлюзы.</w:t>
      </w:r>
    </w:p>
    <w:bookmarkEnd w:id="109"/>
    <w:bookmarkStart w:name="z123" w:id="110"/>
    <w:p>
      <w:pPr>
        <w:spacing w:after="0"/>
        <w:ind w:left="0"/>
        <w:jc w:val="both"/>
      </w:pPr>
      <w:r>
        <w:rPr>
          <w:rFonts w:ascii="Times New Roman"/>
          <w:b w:val="false"/>
          <w:i w:val="false"/>
          <w:color w:val="000000"/>
          <w:sz w:val="28"/>
        </w:rPr>
        <w:t>
      Помещения должны иметь прочные входные двери с замками, гарантирующими надежное закрытие помещений в нерабочее время. Окна помещений, расположенных на первом и последнем этажах здания, а также окна, находящиеся около пожарных лестниц и других мест, откуда возможно проникновение в помещения посторонних лиц, необходимо оборудовать металлическими решетками, или ставнями, или охранной сигнализацией, или другими средствами, препятствующими неконтролируемому проникновению в помещения.</w:t>
      </w:r>
    </w:p>
    <w:bookmarkEnd w:id="110"/>
    <w:bookmarkStart w:name="z124" w:id="111"/>
    <w:p>
      <w:pPr>
        <w:spacing w:after="0"/>
        <w:ind w:left="0"/>
        <w:jc w:val="both"/>
      </w:pPr>
      <w:r>
        <w:rPr>
          <w:rFonts w:ascii="Times New Roman"/>
          <w:b w:val="false"/>
          <w:i w:val="false"/>
          <w:color w:val="000000"/>
          <w:sz w:val="28"/>
        </w:rPr>
        <w:t>
      34. Размещение, специальное оборудование, охрана и организация режима в помещениях должны исключать возможность неконтролируемого проникновения или пребывания в них посторонних лиц, а также просмотра посторонними лицами ведущихся там работ.</w:t>
      </w:r>
    </w:p>
    <w:bookmarkEnd w:id="111"/>
    <w:bookmarkStart w:name="z125" w:id="112"/>
    <w:p>
      <w:pPr>
        <w:spacing w:after="0"/>
        <w:ind w:left="0"/>
        <w:jc w:val="both"/>
      </w:pPr>
      <w:r>
        <w:rPr>
          <w:rFonts w:ascii="Times New Roman"/>
          <w:b w:val="false"/>
          <w:i w:val="false"/>
          <w:color w:val="000000"/>
          <w:sz w:val="28"/>
        </w:rPr>
        <w:t>
      35. Режим охраны помещений должен быть установлен их владельцем и должен предусматривать периодический контроль за состоянием технических средств охраны.</w:t>
      </w:r>
    </w:p>
    <w:bookmarkEnd w:id="112"/>
    <w:bookmarkStart w:name="z126" w:id="113"/>
    <w:p>
      <w:pPr>
        <w:spacing w:after="0"/>
        <w:ind w:left="0"/>
        <w:jc w:val="both"/>
      </w:pPr>
      <w:r>
        <w:rPr>
          <w:rFonts w:ascii="Times New Roman"/>
          <w:b w:val="false"/>
          <w:i w:val="false"/>
          <w:color w:val="000000"/>
          <w:sz w:val="28"/>
        </w:rPr>
        <w:t>
      36. Окна помещений должны быть защищены от просмотра извне плотными шторами, жалюзи либо иными средствами, предотвращающими такой просмотр.</w:t>
      </w:r>
    </w:p>
    <w:bookmarkEnd w:id="113"/>
    <w:bookmarkStart w:name="z127" w:id="114"/>
    <w:p>
      <w:pPr>
        <w:spacing w:after="0"/>
        <w:ind w:left="0"/>
        <w:jc w:val="both"/>
      </w:pPr>
      <w:r>
        <w:rPr>
          <w:rFonts w:ascii="Times New Roman"/>
          <w:b w:val="false"/>
          <w:i w:val="false"/>
          <w:color w:val="000000"/>
          <w:sz w:val="28"/>
        </w:rPr>
        <w:t>
      37. Размещение и монтаж средств центра управления защищенной сетью передачи данных и криптошлюзов должны свести к минимуму возможность неконтролируемого доступа посторонних лиц к указанным средствам. Техническое обслуживание такого оборудования и смена ключевых документов осуществляются в отсутствие лиц, не допущенных к работе с ним.</w:t>
      </w:r>
    </w:p>
    <w:bookmarkEnd w:id="114"/>
    <w:bookmarkStart w:name="z128" w:id="115"/>
    <w:p>
      <w:pPr>
        <w:spacing w:after="0"/>
        <w:ind w:left="0"/>
        <w:jc w:val="left"/>
      </w:pPr>
      <w:r>
        <w:rPr>
          <w:rFonts w:ascii="Times New Roman"/>
          <w:b/>
          <w:i w:val="false"/>
          <w:color w:val="000000"/>
        </w:rPr>
        <w:t xml:space="preserve"> Учет, хранение криптошлюзов и средств криптографической защиты информации, используемых в составе центра управления защищенной сетью передачи данных, эксплуатационной и технической документации к ним, ключевых блокнотов и ключевых дистрибутивов</w:t>
      </w:r>
    </w:p>
    <w:bookmarkEnd w:id="115"/>
    <w:bookmarkStart w:name="z129" w:id="116"/>
    <w:p>
      <w:pPr>
        <w:spacing w:after="0"/>
        <w:ind w:left="0"/>
        <w:jc w:val="both"/>
      </w:pPr>
      <w:r>
        <w:rPr>
          <w:rFonts w:ascii="Times New Roman"/>
          <w:b w:val="false"/>
          <w:i w:val="false"/>
          <w:color w:val="000000"/>
          <w:sz w:val="28"/>
        </w:rPr>
        <w:t>
      38. Криптошлюзы и средства криптографической защиты информации, используемые в составе центра управления защищенной сетью передачи данных, эксплуатационная и техническая документация на них, ключевые блокноты и ключевые дистрибутивы подлежат поэкземплярному учету.</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Поэкземплярный учет ведется в журнале поэкземплярного учета средств криптографической защиты информации в рамках компетенции органа криптографической защиты информации по форме согласно </w:t>
      </w:r>
      <w:r>
        <w:rPr>
          <w:rFonts w:ascii="Times New Roman"/>
          <w:b w:val="false"/>
          <w:i w:val="false"/>
          <w:color w:val="000000"/>
          <w:sz w:val="28"/>
        </w:rPr>
        <w:t>приложению № 2</w:t>
      </w:r>
      <w:r>
        <w:rPr>
          <w:rFonts w:ascii="Times New Roman"/>
          <w:b w:val="false"/>
          <w:i w:val="false"/>
          <w:color w:val="000000"/>
          <w:sz w:val="28"/>
        </w:rPr>
        <w:t xml:space="preserve"> и участником защищенной передачи данных по форме согласно </w:t>
      </w:r>
      <w:r>
        <w:rPr>
          <w:rFonts w:ascii="Times New Roman"/>
          <w:b w:val="false"/>
          <w:i w:val="false"/>
          <w:color w:val="000000"/>
          <w:sz w:val="28"/>
        </w:rPr>
        <w:t>приложению № 3</w:t>
      </w:r>
      <w:r>
        <w:rPr>
          <w:rFonts w:ascii="Times New Roman"/>
          <w:b w:val="false"/>
          <w:i w:val="false"/>
          <w:color w:val="000000"/>
          <w:sz w:val="28"/>
        </w:rPr>
        <w:t>.</w:t>
      </w:r>
    </w:p>
    <w:bookmarkStart w:name="z131" w:id="117"/>
    <w:p>
      <w:pPr>
        <w:spacing w:after="0"/>
        <w:ind w:left="0"/>
        <w:jc w:val="both"/>
      </w:pPr>
      <w:r>
        <w:rPr>
          <w:rFonts w:ascii="Times New Roman"/>
          <w:b w:val="false"/>
          <w:i w:val="false"/>
          <w:color w:val="000000"/>
          <w:sz w:val="28"/>
        </w:rPr>
        <w:t>
      40. Единицей поэкземплярного учета является техническое средство или материальный носитель. При использовании материальных носителей многократного использования, каждый факт их использования регистрируется отдельно.</w:t>
      </w:r>
    </w:p>
    <w:bookmarkEnd w:id="117"/>
    <w:bookmarkStart w:name="z132" w:id="118"/>
    <w:p>
      <w:pPr>
        <w:spacing w:after="0"/>
        <w:ind w:left="0"/>
        <w:jc w:val="both"/>
      </w:pPr>
      <w:r>
        <w:rPr>
          <w:rFonts w:ascii="Times New Roman"/>
          <w:b w:val="false"/>
          <w:i w:val="false"/>
          <w:color w:val="000000"/>
          <w:sz w:val="28"/>
        </w:rPr>
        <w:t xml:space="preserve">
      41. Все полученные экземпляры криптошлюзов, средств криптографической защиты информации, используемых в составе центра управления защищенной сетью передачи данных, эксплуатационной и технической документации на них, ключевых блокнотов и ключевых дистрибутивов выдаются под расписку в журнале, указанном в пункте 39 настоящей Инструкции лицам, ответственным за их сохранность. </w:t>
      </w:r>
    </w:p>
    <w:bookmarkEnd w:id="118"/>
    <w:bookmarkStart w:name="z133" w:id="119"/>
    <w:p>
      <w:pPr>
        <w:spacing w:after="0"/>
        <w:ind w:left="0"/>
        <w:jc w:val="both"/>
      </w:pPr>
      <w:r>
        <w:rPr>
          <w:rFonts w:ascii="Times New Roman"/>
          <w:b w:val="false"/>
          <w:i w:val="false"/>
          <w:color w:val="000000"/>
          <w:sz w:val="28"/>
        </w:rPr>
        <w:t>
      42. Дистрибутивы программного обеспечения на оптических или магнитных носителях, ключевые блокноты и материальные носители ключевых дистрибутивов хранятся у лиц, ответственных за эксплуатацию соответствующих компонентов защищенной сети передачи данных.</w:t>
      </w:r>
    </w:p>
    <w:bookmarkEnd w:id="119"/>
    <w:bookmarkStart w:name="z134" w:id="120"/>
    <w:p>
      <w:pPr>
        <w:spacing w:after="0"/>
        <w:ind w:left="0"/>
        <w:jc w:val="both"/>
      </w:pPr>
      <w:r>
        <w:rPr>
          <w:rFonts w:ascii="Times New Roman"/>
          <w:b w:val="false"/>
          <w:i w:val="false"/>
          <w:color w:val="000000"/>
          <w:sz w:val="28"/>
        </w:rPr>
        <w:t>
      43. Криптошлюзы, аппаратно-программные средства криптографической защиты информации и аппаратные средства, с которыми осуществляется штатное функционирование средств криптографической защиты информации в составе центра управления защищенной сетью передачи данных, должны быть оборудованы средствами контроля за их вскрытием (опломбирование, опечатывание). Место размещения средства контроля должно позволять осуществлять его визуальный контроль.</w:t>
      </w:r>
    </w:p>
    <w:bookmarkEnd w:id="120"/>
    <w:bookmarkStart w:name="z135" w:id="121"/>
    <w:p>
      <w:pPr>
        <w:spacing w:after="0"/>
        <w:ind w:left="0"/>
        <w:jc w:val="both"/>
      </w:pPr>
      <w:r>
        <w:rPr>
          <w:rFonts w:ascii="Times New Roman"/>
          <w:b w:val="false"/>
          <w:i w:val="false"/>
          <w:color w:val="000000"/>
          <w:sz w:val="28"/>
        </w:rPr>
        <w:t>
      44. Хранение эксплуатационной и технической документации, ключевых блокнотов и ключевых дистрибутивов осуществляется в надежных металлических хранилищах, оборудованных внутренними замками с 2 экземплярами ключей и приспособлениями для опечатывания замочных скважин. Один экземпляр ключа от хранилища должен находиться у лица, ответственного за хранилище.</w:t>
      </w:r>
    </w:p>
    <w:bookmarkEnd w:id="121"/>
    <w:bookmarkStart w:name="z136" w:id="122"/>
    <w:p>
      <w:pPr>
        <w:spacing w:after="0"/>
        <w:ind w:left="0"/>
        <w:jc w:val="both"/>
      </w:pPr>
      <w:r>
        <w:rPr>
          <w:rFonts w:ascii="Times New Roman"/>
          <w:b w:val="false"/>
          <w:i w:val="false"/>
          <w:color w:val="000000"/>
          <w:sz w:val="28"/>
        </w:rPr>
        <w:t>
      Способ хранения ключей должен исключать доступ к ним неуполномоченных лиц.</w:t>
      </w:r>
    </w:p>
    <w:bookmarkEnd w:id="122"/>
    <w:bookmarkStart w:name="z137" w:id="123"/>
    <w:p>
      <w:pPr>
        <w:spacing w:after="0"/>
        <w:ind w:left="0"/>
        <w:jc w:val="both"/>
      </w:pPr>
      <w:r>
        <w:rPr>
          <w:rFonts w:ascii="Times New Roman"/>
          <w:b w:val="false"/>
          <w:i w:val="false"/>
          <w:color w:val="000000"/>
          <w:sz w:val="28"/>
        </w:rPr>
        <w:t xml:space="preserve">
      45. По окончании рабочего дня хранилища должны быть закрыты и опечатаны. </w:t>
      </w:r>
    </w:p>
    <w:bookmarkEnd w:id="123"/>
    <w:bookmarkStart w:name="z138" w:id="124"/>
    <w:p>
      <w:pPr>
        <w:spacing w:after="0"/>
        <w:ind w:left="0"/>
        <w:jc w:val="both"/>
      </w:pPr>
      <w:r>
        <w:rPr>
          <w:rFonts w:ascii="Times New Roman"/>
          <w:b w:val="false"/>
          <w:i w:val="false"/>
          <w:color w:val="000000"/>
          <w:sz w:val="28"/>
        </w:rPr>
        <w:t>
      Печати, предназначенные для опечатывания хранилищ, должны находиться у лиц, ответственных за эти хранилища.</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При обнаружении признаков, указывающих на возможное несанкционированное проникновение в хранилище посторонних лиц, о случившемся должно быть немедленно сообщено в орган криптографической защиты информации. </w:t>
      </w:r>
    </w:p>
    <w:bookmarkStart w:name="z140" w:id="125"/>
    <w:p>
      <w:pPr>
        <w:spacing w:after="0"/>
        <w:ind w:left="0"/>
        <w:jc w:val="both"/>
      </w:pPr>
      <w:r>
        <w:rPr>
          <w:rFonts w:ascii="Times New Roman"/>
          <w:b w:val="false"/>
          <w:i w:val="false"/>
          <w:color w:val="000000"/>
          <w:sz w:val="28"/>
        </w:rPr>
        <w:t>
      Лица, ответственные за хранение ключевых блокнотов и ключевых дистрибутивов, должны оценить возможность компрометации хранящихся ключевых и других документов, составить акт и принять при необходимости меры к локализации последствий компрометации защищаемой информации и к замене скомпрометированных ключевых блокнотов и ключевых дистрибутивов.</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к уничтожению ключевых блокнотов, ключевых дистрибутивов, эксплуатационной и технической документации на компоненты защищенной сети передачи данных</w:t>
      </w:r>
    </w:p>
    <w:bookmarkStart w:name="z142" w:id="126"/>
    <w:p>
      <w:pPr>
        <w:spacing w:after="0"/>
        <w:ind w:left="0"/>
        <w:jc w:val="both"/>
      </w:pPr>
      <w:r>
        <w:rPr>
          <w:rFonts w:ascii="Times New Roman"/>
          <w:b w:val="false"/>
          <w:i w:val="false"/>
          <w:color w:val="000000"/>
          <w:sz w:val="28"/>
        </w:rPr>
        <w:t>
      47. Материальные носители ключевых блокнотов, ключевых дистрибутивов, эксплуатационной и технической документации на компоненты защищенной сети передачи данных, подлежат физическому уничтожению.</w:t>
      </w:r>
    </w:p>
    <w:bookmarkEnd w:id="126"/>
    <w:bookmarkStart w:name="z143" w:id="127"/>
    <w:p>
      <w:pPr>
        <w:spacing w:after="0"/>
        <w:ind w:left="0"/>
        <w:jc w:val="both"/>
      </w:pPr>
      <w:r>
        <w:rPr>
          <w:rFonts w:ascii="Times New Roman"/>
          <w:b w:val="false"/>
          <w:i w:val="false"/>
          <w:color w:val="000000"/>
          <w:sz w:val="28"/>
        </w:rPr>
        <w:t>
      Материальные носители уничтожаются путем нанесения им неустранимого физического повреждения, исключающего возможность их использования, а также восстановления размещенной на них информации.</w:t>
      </w:r>
    </w:p>
    <w:bookmarkEnd w:id="127"/>
    <w:bookmarkStart w:name="z144" w:id="128"/>
    <w:p>
      <w:pPr>
        <w:spacing w:after="0"/>
        <w:ind w:left="0"/>
        <w:jc w:val="both"/>
      </w:pPr>
      <w:r>
        <w:rPr>
          <w:rFonts w:ascii="Times New Roman"/>
          <w:b w:val="false"/>
          <w:i w:val="false"/>
          <w:color w:val="000000"/>
          <w:sz w:val="28"/>
        </w:rPr>
        <w:t>
      Ключевые блокноты и ключевые дистрибутивы должны быть уничтожены в сроки, указанные в эксплуатационной и технической документации на центр управления защищенной сетью передачи данных. Если такой срок не установлен, то уничтожение должно быть произведено не позднее 10 суток после вывода их из действия (окончания срока действия). Факт уничтожения оформляется в соответствующих журналах поэкземплярного учета.</w:t>
      </w:r>
    </w:p>
    <w:bookmarkEnd w:id="128"/>
    <w:bookmarkStart w:name="z145" w:id="129"/>
    <w:p>
      <w:pPr>
        <w:spacing w:after="0"/>
        <w:ind w:left="0"/>
        <w:jc w:val="both"/>
      </w:pPr>
      <w:r>
        <w:rPr>
          <w:rFonts w:ascii="Times New Roman"/>
          <w:b w:val="false"/>
          <w:i w:val="false"/>
          <w:color w:val="000000"/>
          <w:sz w:val="28"/>
        </w:rPr>
        <w:t>
      48. Ключевые блокноты и ключевые дистрибутивы уничтожаются органом криптографической защиты информации и участником защищенной сети передачи данных с проставлением отметки в соответствующих журналах поэкземплярного учета.</w:t>
      </w:r>
    </w:p>
    <w:bookmarkEnd w:id="129"/>
    <w:bookmarkStart w:name="z146" w:id="130"/>
    <w:p>
      <w:pPr>
        <w:spacing w:after="0"/>
        <w:ind w:left="0"/>
        <w:jc w:val="left"/>
      </w:pPr>
      <w:r>
        <w:rPr>
          <w:rFonts w:ascii="Times New Roman"/>
          <w:b/>
          <w:i w:val="false"/>
          <w:color w:val="000000"/>
        </w:rPr>
        <w:t xml:space="preserve"> Компрометация ключевых блокнотов и ключевых дистрибутивов</w:t>
      </w:r>
    </w:p>
    <w:bookmarkEnd w:id="130"/>
    <w:bookmarkStart w:name="z147" w:id="131"/>
    <w:p>
      <w:pPr>
        <w:spacing w:after="0"/>
        <w:ind w:left="0"/>
        <w:jc w:val="both"/>
      </w:pPr>
      <w:r>
        <w:rPr>
          <w:rFonts w:ascii="Times New Roman"/>
          <w:b w:val="false"/>
          <w:i w:val="false"/>
          <w:color w:val="000000"/>
          <w:sz w:val="28"/>
        </w:rPr>
        <w:t>
      49. К обстоятельствам, указывающим на возможную компрометацию ключевых блокнотов и ключевых дистрибутивов, но не ограничивающим их, относятся:</w:t>
      </w:r>
    </w:p>
    <w:bookmarkEnd w:id="131"/>
    <w:bookmarkStart w:name="z148" w:id="132"/>
    <w:p>
      <w:pPr>
        <w:spacing w:after="0"/>
        <w:ind w:left="0"/>
        <w:jc w:val="both"/>
      </w:pPr>
      <w:r>
        <w:rPr>
          <w:rFonts w:ascii="Times New Roman"/>
          <w:b w:val="false"/>
          <w:i w:val="false"/>
          <w:color w:val="000000"/>
          <w:sz w:val="28"/>
        </w:rPr>
        <w:t>
      а) потеря ключевых блокнотов и материальных носителей ключевых дистрибутивов;</w:t>
      </w:r>
    </w:p>
    <w:bookmarkEnd w:id="132"/>
    <w:bookmarkStart w:name="z149" w:id="133"/>
    <w:p>
      <w:pPr>
        <w:spacing w:after="0"/>
        <w:ind w:left="0"/>
        <w:jc w:val="both"/>
      </w:pPr>
      <w:r>
        <w:rPr>
          <w:rFonts w:ascii="Times New Roman"/>
          <w:b w:val="false"/>
          <w:i w:val="false"/>
          <w:color w:val="000000"/>
          <w:sz w:val="28"/>
        </w:rPr>
        <w:t>
      б) потеря ключевых блокнотов и материальных носителей ключевых дистрибутивов с последующим их обнаружением;</w:t>
      </w:r>
    </w:p>
    <w:bookmarkEnd w:id="133"/>
    <w:bookmarkStart w:name="z150" w:id="134"/>
    <w:p>
      <w:pPr>
        <w:spacing w:after="0"/>
        <w:ind w:left="0"/>
        <w:jc w:val="both"/>
      </w:pPr>
      <w:r>
        <w:rPr>
          <w:rFonts w:ascii="Times New Roman"/>
          <w:b w:val="false"/>
          <w:i w:val="false"/>
          <w:color w:val="000000"/>
          <w:sz w:val="28"/>
        </w:rPr>
        <w:t>
      в) увольнение лиц, имевших доступ к ключевым блокнотами или ключевым дистрибутивам;</w:t>
      </w:r>
    </w:p>
    <w:bookmarkEnd w:id="134"/>
    <w:bookmarkStart w:name="z151" w:id="135"/>
    <w:p>
      <w:pPr>
        <w:spacing w:after="0"/>
        <w:ind w:left="0"/>
        <w:jc w:val="both"/>
      </w:pPr>
      <w:r>
        <w:rPr>
          <w:rFonts w:ascii="Times New Roman"/>
          <w:b w:val="false"/>
          <w:i w:val="false"/>
          <w:color w:val="000000"/>
          <w:sz w:val="28"/>
        </w:rPr>
        <w:t>
      г) утрата ключей от хранилищ с ключевыми блокнотами или ключевыми дистрибутивами;</w:t>
      </w:r>
    </w:p>
    <w:bookmarkEnd w:id="135"/>
    <w:bookmarkStart w:name="z152" w:id="136"/>
    <w:p>
      <w:pPr>
        <w:spacing w:after="0"/>
        <w:ind w:left="0"/>
        <w:jc w:val="both"/>
      </w:pPr>
      <w:r>
        <w:rPr>
          <w:rFonts w:ascii="Times New Roman"/>
          <w:b w:val="false"/>
          <w:i w:val="false"/>
          <w:color w:val="000000"/>
          <w:sz w:val="28"/>
        </w:rPr>
        <w:t>
      д) временный доступ посторонних лиц к ключевым блокнотам или ключевым дистрибутивам, а также другие события, при которых неизвестно, что произошло с ключевыми блокнотами или ключевыми дистрибутивами.</w:t>
      </w:r>
    </w:p>
    <w:bookmarkEnd w:id="136"/>
    <w:bookmarkStart w:name="z153" w:id="137"/>
    <w:p>
      <w:pPr>
        <w:spacing w:after="0"/>
        <w:ind w:left="0"/>
        <w:jc w:val="both"/>
      </w:pPr>
      <w:r>
        <w:rPr>
          <w:rFonts w:ascii="Times New Roman"/>
          <w:b w:val="false"/>
          <w:i w:val="false"/>
          <w:color w:val="000000"/>
          <w:sz w:val="28"/>
        </w:rPr>
        <w:t>
      50. При возникновении обстоятельств, указанных в пункте 49 настоящей Инструкции, следует информировать орган криптографической защиты информации и администратора защищенной сети передачи данных о факте компрометации, при необходимости приостановить работу криптошлюзов по согласованию с администратором защищенной сети передачи данных, в максимально короткий период осуществить смену скомпрометированной ключевой информации.</w:t>
      </w:r>
    </w:p>
    <w:bookmarkEnd w:id="137"/>
    <w:bookmarkStart w:name="z154" w:id="138"/>
    <w:p>
      <w:pPr>
        <w:spacing w:after="0"/>
        <w:ind w:left="0"/>
        <w:jc w:val="both"/>
      </w:pPr>
      <w:r>
        <w:rPr>
          <w:rFonts w:ascii="Times New Roman"/>
          <w:b w:val="false"/>
          <w:i w:val="false"/>
          <w:color w:val="000000"/>
          <w:sz w:val="28"/>
        </w:rPr>
        <w:t>
      51. Решение о компрометации в рамках своей зоны ответственности принимает администратор защищенной сети передачи данных или администратор криптошлюзов. Информация о компрометации (с указанием идентификационных номеров скомпрометированных ключевых блокнотов и (или) ключевых дистрибутивов и сведений об обстоятельствах такой компрометации) должна быть направлена в течение 1 рабочего дня в орган криптографической защиты информации.</w:t>
      </w:r>
    </w:p>
    <w:bookmarkEnd w:id="138"/>
    <w:bookmarkStart w:name="z155" w:id="139"/>
    <w:p>
      <w:pPr>
        <w:spacing w:after="0"/>
        <w:ind w:left="0"/>
        <w:jc w:val="both"/>
      </w:pPr>
      <w:r>
        <w:rPr>
          <w:rFonts w:ascii="Times New Roman"/>
          <w:b w:val="false"/>
          <w:i w:val="false"/>
          <w:color w:val="000000"/>
          <w:sz w:val="28"/>
        </w:rPr>
        <w:t>
      52. Орган криптографической защиты информации после проверки достоверности полученной информации дает поручение администратору защищенной сети передачи данных и администраторам криптошлюзов в согласованное с участниками защищенной сети передачи данных время произвести ввод в действие ключевых блокнотов и (или) ключевых дистрибутивов взамен скомпрометированных.</w:t>
      </w:r>
    </w:p>
    <w:bookmarkEnd w:id="139"/>
    <w:bookmarkStart w:name="z156" w:id="140"/>
    <w:p>
      <w:pPr>
        <w:spacing w:after="0"/>
        <w:ind w:left="0"/>
        <w:jc w:val="both"/>
      </w:pPr>
      <w:r>
        <w:rPr>
          <w:rFonts w:ascii="Times New Roman"/>
          <w:b w:val="false"/>
          <w:i w:val="false"/>
          <w:color w:val="000000"/>
          <w:sz w:val="28"/>
        </w:rPr>
        <w:t>
      53. Период использования скомпрометированных ключевых блокнотов и (или) ключевых дистрибутивов должен быть максимально коротким.</w:t>
      </w:r>
    </w:p>
    <w:bookmarkEnd w:id="140"/>
    <w:bookmarkStart w:name="z157" w:id="141"/>
    <w:p>
      <w:pPr>
        <w:spacing w:after="0"/>
        <w:ind w:left="0"/>
        <w:jc w:val="left"/>
      </w:pPr>
      <w:r>
        <w:rPr>
          <w:rFonts w:ascii="Times New Roman"/>
          <w:b/>
          <w:i w:val="false"/>
          <w:color w:val="000000"/>
        </w:rPr>
        <w:t xml:space="preserve"> Контроль за организацией и обеспечением безопасности защищенной сети передачи данных</w:t>
      </w:r>
    </w:p>
    <w:bookmarkEnd w:id="141"/>
    <w:bookmarkStart w:name="z158" w:id="142"/>
    <w:p>
      <w:pPr>
        <w:spacing w:after="0"/>
        <w:ind w:left="0"/>
        <w:jc w:val="both"/>
      </w:pPr>
      <w:r>
        <w:rPr>
          <w:rFonts w:ascii="Times New Roman"/>
          <w:b w:val="false"/>
          <w:i w:val="false"/>
          <w:color w:val="000000"/>
          <w:sz w:val="28"/>
        </w:rPr>
        <w:t>
      54. Контроль за организацией и обеспечением безопасности защищенной сети передачи данных осуществляет орган криптографической защиты информации в рамках осуществляемых им функций.</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Срок и периодичность контроля определяются Консультативным комитетом по информатизации, информационным технологиям и защите информации, созданным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 июня 2016 г. № 53, и утверждаются актом Комиссии. </w:t>
      </w:r>
    </w:p>
    <w:bookmarkStart w:name="z160" w:id="143"/>
    <w:p>
      <w:pPr>
        <w:spacing w:after="0"/>
        <w:ind w:left="0"/>
        <w:jc w:val="both"/>
      </w:pPr>
      <w:r>
        <w:rPr>
          <w:rFonts w:ascii="Times New Roman"/>
          <w:b w:val="false"/>
          <w:i w:val="false"/>
          <w:color w:val="000000"/>
          <w:sz w:val="28"/>
        </w:rPr>
        <w:t>
      56. Формируемые по результатам контроля заключения по фактам нарушения требований настоящей Инструкции, а также предложения по принятию мер по предотвращению опасных последствий подобных нарушений представляются органом криптографической защиты на рассмотрение Консультативного комитета по информатизации, информационным технологиям и защите информации.</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tc>
      </w:tr>
    </w:tbl>
    <w:bookmarkStart w:name="z162" w:id="144"/>
    <w:p>
      <w:pPr>
        <w:spacing w:after="0"/>
        <w:ind w:left="0"/>
        <w:jc w:val="left"/>
      </w:pPr>
      <w:r>
        <w:rPr>
          <w:rFonts w:ascii="Times New Roman"/>
          <w:b/>
          <w:i w:val="false"/>
          <w:color w:val="000000"/>
        </w:rPr>
        <w:t xml:space="preserve"> к Инструкции по организации, обеспечению функционирования и безопасности каналов передачи данных в интегрированной информационной системе Евразийского экономического союза</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на бланке участника защищенной сети передачи данных)</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bl>
    <w:bookmarkStart w:name="z164" w:id="145"/>
    <w:p>
      <w:pPr>
        <w:spacing w:after="0"/>
        <w:ind w:left="0"/>
        <w:jc w:val="left"/>
      </w:pPr>
      <w:r>
        <w:rPr>
          <w:rFonts w:ascii="Times New Roman"/>
          <w:b/>
          <w:i w:val="false"/>
          <w:color w:val="000000"/>
        </w:rPr>
        <w:t xml:space="preserve"> ЗАЯВЛЕНИЕ</w:t>
      </w:r>
    </w:p>
    <w:bookmarkEnd w:id="145"/>
    <w:bookmarkStart w:name="z165" w:id="146"/>
    <w:p>
      <w:pPr>
        <w:spacing w:after="0"/>
        <w:ind w:left="0"/>
        <w:jc w:val="left"/>
      </w:pPr>
      <w:r>
        <w:rPr>
          <w:rFonts w:ascii="Times New Roman"/>
          <w:b/>
          <w:i w:val="false"/>
          <w:color w:val="000000"/>
        </w:rPr>
        <w:t xml:space="preserve"> на подключение к защищенной сети передачи данных</w:t>
      </w:r>
    </w:p>
    <w:bookmarkEnd w:id="146"/>
    <w:p>
      <w:pPr>
        <w:spacing w:after="0"/>
        <w:ind w:left="0"/>
        <w:jc w:val="both"/>
      </w:pPr>
      <w:bookmarkStart w:name="z166" w:id="147"/>
      <w:r>
        <w:rPr>
          <w:rFonts w:ascii="Times New Roman"/>
          <w:b w:val="false"/>
          <w:i w:val="false"/>
          <w:color w:val="000000"/>
          <w:sz w:val="28"/>
        </w:rPr>
        <w:t>
      _____________________________________________________________________</w:t>
      </w:r>
    </w:p>
    <w:bookmarkEnd w:id="147"/>
    <w:p>
      <w:pPr>
        <w:spacing w:after="0"/>
        <w:ind w:left="0"/>
        <w:jc w:val="both"/>
      </w:pPr>
      <w:r>
        <w:rPr>
          <w:rFonts w:ascii="Times New Roman"/>
          <w:b w:val="false"/>
          <w:i w:val="false"/>
          <w:color w:val="000000"/>
          <w:sz w:val="28"/>
        </w:rPr>
        <w:t>(полное наименование организации, включая организационно-правовую форму)</w:t>
      </w:r>
    </w:p>
    <w:p>
      <w:pPr>
        <w:spacing w:after="0"/>
        <w:ind w:left="0"/>
        <w:jc w:val="both"/>
      </w:pPr>
      <w:bookmarkStart w:name="z167" w:id="148"/>
      <w:r>
        <w:rPr>
          <w:rFonts w:ascii="Times New Roman"/>
          <w:b w:val="false"/>
          <w:i w:val="false"/>
          <w:color w:val="000000"/>
          <w:sz w:val="28"/>
        </w:rPr>
        <w:t>
      в лице __________________________________________________________________</w:t>
      </w:r>
    </w:p>
    <w:bookmarkEnd w:id="148"/>
    <w:p>
      <w:pPr>
        <w:spacing w:after="0"/>
        <w:ind w:left="0"/>
        <w:jc w:val="both"/>
      </w:pPr>
      <w:r>
        <w:rPr>
          <w:rFonts w:ascii="Times New Roman"/>
          <w:b w:val="false"/>
          <w:i w:val="false"/>
          <w:color w:val="000000"/>
          <w:sz w:val="28"/>
        </w:rPr>
        <w:t xml:space="preserve">                               (должность, фамилия, имя, отчество)</w:t>
      </w:r>
    </w:p>
    <w:p>
      <w:pPr>
        <w:spacing w:after="0"/>
        <w:ind w:left="0"/>
        <w:jc w:val="both"/>
      </w:pPr>
      <w:r>
        <w:rPr>
          <w:rFonts w:ascii="Times New Roman"/>
          <w:b w:val="false"/>
          <w:i w:val="false"/>
          <w:color w:val="000000"/>
          <w:sz w:val="28"/>
        </w:rPr>
        <w:t xml:space="preserve">       действующего на основании _______________________________________________</w:t>
      </w:r>
    </w:p>
    <w:p>
      <w:pPr>
        <w:spacing w:after="0"/>
        <w:ind w:left="0"/>
        <w:jc w:val="both"/>
      </w:pPr>
      <w:r>
        <w:rPr>
          <w:rFonts w:ascii="Times New Roman"/>
          <w:b w:val="false"/>
          <w:i w:val="false"/>
          <w:color w:val="000000"/>
          <w:sz w:val="28"/>
        </w:rPr>
        <w:t xml:space="preserve">                                     (организационно-распорядительный документ)</w:t>
      </w:r>
    </w:p>
    <w:bookmarkStart w:name="z168" w:id="149"/>
    <w:p>
      <w:pPr>
        <w:spacing w:after="0"/>
        <w:ind w:left="0"/>
        <w:jc w:val="both"/>
      </w:pPr>
      <w:r>
        <w:rPr>
          <w:rFonts w:ascii="Times New Roman"/>
          <w:b w:val="false"/>
          <w:i w:val="false"/>
          <w:color w:val="000000"/>
          <w:sz w:val="28"/>
        </w:rPr>
        <w:t>
      просит изготовить файл ключевого дистрибутива сети, на своего уполномоченного представителя, в соответствии с указанными в настоящем заявлении данными:</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или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 криптошлюзов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уполномоченного представителя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(адрес электронной почты,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 w:id="150"/>
      <w:r>
        <w:rPr>
          <w:rFonts w:ascii="Times New Roman"/>
          <w:b w:val="false"/>
          <w:i w:val="false"/>
          <w:color w:val="000000"/>
          <w:sz w:val="28"/>
        </w:rPr>
        <w:t>
      Настоящим _____________________________________________________________________</w:t>
      </w:r>
    </w:p>
    <w:bookmarkEnd w:id="1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(фамилия, имя, отчество уполномоченного представителя)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w:t>
            </w:r>
          </w:p>
        </w:tc>
      </w:tr>
    </w:tbl>
    <w:p>
      <w:pPr>
        <w:spacing w:after="0"/>
        <w:ind w:left="0"/>
        <w:jc w:val="both"/>
      </w:pPr>
      <w:bookmarkStart w:name="z170" w:id="151"/>
      <w:r>
        <w:rPr>
          <w:rFonts w:ascii="Times New Roman"/>
          <w:b w:val="false"/>
          <w:i w:val="false"/>
          <w:color w:val="000000"/>
          <w:sz w:val="28"/>
        </w:rPr>
        <w:t>
      ___________________________</w:t>
      </w:r>
    </w:p>
    <w:bookmarkEnd w:id="1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(орган, которым выдан паспорт)</w:t>
      </w:r>
    </w:p>
    <w:bookmarkStart w:name="z171" w:id="1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 ____________</w:t>
      </w:r>
      <w:r>
        <w:rPr>
          <w:rFonts w:ascii="Times New Roman"/>
          <w:b w:val="false"/>
          <w:i w:val="false"/>
          <w:color w:val="000000"/>
          <w:vertAlign w:val="superscript"/>
        </w:rPr>
        <w:t xml:space="preserve"> 20__</w:t>
      </w:r>
    </w:p>
    <w:bookmarkEnd w:id="152"/>
    <w:p>
      <w:pPr>
        <w:spacing w:after="0"/>
        <w:ind w:left="0"/>
        <w:jc w:val="both"/>
      </w:pPr>
      <w:bookmarkStart w:name="z172" w:id="153"/>
      <w:r>
        <w:rPr>
          <w:rFonts w:ascii="Times New Roman"/>
          <w:b w:val="false"/>
          <w:i w:val="false"/>
          <w:color w:val="000000"/>
          <w:sz w:val="28"/>
        </w:rPr>
        <w:t>
      __________________________</w:t>
      </w:r>
    </w:p>
    <w:bookmarkEnd w:id="1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(дата выдачи паспорта)</w:t>
      </w:r>
    </w:p>
    <w:bookmarkStart w:name="z173" w:id="154"/>
    <w:p>
      <w:pPr>
        <w:spacing w:after="0"/>
        <w:ind w:left="0"/>
        <w:jc w:val="both"/>
      </w:pPr>
      <w:r>
        <w:rPr>
          <w:rFonts w:ascii="Times New Roman"/>
          <w:b w:val="false"/>
          <w:i w:val="false"/>
          <w:color w:val="000000"/>
          <w:sz w:val="28"/>
        </w:rPr>
        <w:t>
      уполномочен для получения ключевых блокнотов и ключевого дистрибутива участника защищенной сети передачи данных интегрированной информационной системы Евразийского экономического союза.</w:t>
      </w:r>
    </w:p>
    <w:bookmarkEnd w:id="154"/>
    <w:bookmarkStart w:name="z174" w:id="155"/>
    <w:p>
      <w:pPr>
        <w:spacing w:after="0"/>
        <w:ind w:left="0"/>
        <w:jc w:val="both"/>
      </w:pPr>
      <w:r>
        <w:rPr>
          <w:rFonts w:ascii="Times New Roman"/>
          <w:b w:val="false"/>
          <w:i w:val="false"/>
          <w:color w:val="000000"/>
          <w:sz w:val="28"/>
        </w:rPr>
        <w:t>
      Полномочия, указанные в заявлении, действуют в течение срока действия ключевого дистрибутива без права передоверия.</w:t>
      </w:r>
    </w:p>
    <w:bookmarkEnd w:id="155"/>
    <w:p>
      <w:pPr>
        <w:spacing w:after="0"/>
        <w:ind w:left="0"/>
        <w:jc w:val="both"/>
      </w:pPr>
      <w:bookmarkStart w:name="z175" w:id="156"/>
      <w:r>
        <w:rPr>
          <w:rFonts w:ascii="Times New Roman"/>
          <w:b w:val="false"/>
          <w:i w:val="false"/>
          <w:color w:val="000000"/>
          <w:sz w:val="28"/>
        </w:rPr>
        <w:t>
      Уполномоченное лицо       ______________             _________________________</w:t>
      </w:r>
    </w:p>
    <w:bookmarkEnd w:id="156"/>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bookmarkStart w:name="z176" w:id="157"/>
      <w:r>
        <w:rPr>
          <w:rFonts w:ascii="Times New Roman"/>
          <w:b w:val="false"/>
          <w:i w:val="false"/>
          <w:color w:val="000000"/>
          <w:sz w:val="28"/>
        </w:rPr>
        <w:t>
      Руководитель организации       ______________             _________________________</w:t>
      </w:r>
    </w:p>
    <w:bookmarkEnd w:id="157"/>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 xml:space="preserve">       М.П. "____"____________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p>
        </w:tc>
      </w:tr>
    </w:tbl>
    <w:bookmarkStart w:name="z178" w:id="158"/>
    <w:p>
      <w:pPr>
        <w:spacing w:after="0"/>
        <w:ind w:left="0"/>
        <w:jc w:val="left"/>
      </w:pPr>
      <w:r>
        <w:rPr>
          <w:rFonts w:ascii="Times New Roman"/>
          <w:b/>
          <w:i w:val="false"/>
          <w:color w:val="000000"/>
        </w:rPr>
        <w:t xml:space="preserve"> к Инструкции по организации, обеспечению функционирования и безопасности каналов передачи данных в интегрированной информационной системе Евразийского экономического союза</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 w:id="159"/>
    <w:p>
      <w:pPr>
        <w:spacing w:after="0"/>
        <w:ind w:left="0"/>
        <w:jc w:val="left"/>
      </w:pPr>
      <w:r>
        <w:rPr>
          <w:rFonts w:ascii="Times New Roman"/>
          <w:b/>
          <w:i w:val="false"/>
          <w:color w:val="000000"/>
        </w:rPr>
        <w:t xml:space="preserve"> ЖУРНАЛ</w:t>
      </w:r>
    </w:p>
    <w:bookmarkEnd w:id="159"/>
    <w:bookmarkStart w:name="z181" w:id="160"/>
    <w:p>
      <w:pPr>
        <w:spacing w:after="0"/>
        <w:ind w:left="0"/>
        <w:jc w:val="left"/>
      </w:pPr>
      <w:r>
        <w:rPr>
          <w:rFonts w:ascii="Times New Roman"/>
          <w:b/>
          <w:i w:val="false"/>
          <w:color w:val="000000"/>
        </w:rPr>
        <w:t xml:space="preserve"> поэкземплярного учета cредств криптографической защиты информации, эксплуатационной и технической документации на них, ключевых документов (для органа криптографической защиты)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СКЗИ, эксплуатационной и технической документации на них, ключевых документов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Серийные номера СКЗИ, эксплуатационной и технической документации на них, номера серий ключевых документов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экземпляров (криптографи-ческие номера) ключевых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1"/>
          <w:p>
            <w:pPr>
              <w:spacing w:after="20"/>
              <w:ind w:left="20"/>
              <w:jc w:val="both"/>
            </w:pPr>
            <w:r>
              <w:rPr>
                <w:rFonts w:ascii="Times New Roman"/>
                <w:b w:val="false"/>
                <w:i w:val="false"/>
                <w:color w:val="000000"/>
                <w:sz w:val="20"/>
              </w:rPr>
              <w:t>
Отметка о рассылке</w:t>
            </w:r>
          </w:p>
          <w:bookmarkEnd w:id="161"/>
          <w:p>
            <w:pPr>
              <w:spacing w:after="20"/>
              <w:ind w:left="20"/>
              <w:jc w:val="both"/>
            </w:pPr>
            <w:r>
              <w:rPr>
                <w:rFonts w:ascii="Times New Roman"/>
                <w:b w:val="false"/>
                <w:i w:val="false"/>
                <w:color w:val="000000"/>
                <w:sz w:val="20"/>
              </w:rPr>
              <w:t>
(передаче)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получены или Ф.И.О. сотрудника органа криптографической защиты, изготовившего ключевые документы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сопроводительного письма или дата изготовления ключевых документов и расписка в изготовлении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разосланы (переданы)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сопроводи-тельного письма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подтверждения или расписка в получении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действие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вывода из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уничтожении СКЗИ, ключевых документов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сопроводительного письма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подтверждения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уничтожения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или расписка об уничтожении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p>
        </w:tc>
      </w:tr>
    </w:tbl>
    <w:bookmarkStart w:name="z184" w:id="162"/>
    <w:p>
      <w:pPr>
        <w:spacing w:after="0"/>
        <w:ind w:left="0"/>
        <w:jc w:val="left"/>
      </w:pPr>
      <w:r>
        <w:rPr>
          <w:rFonts w:ascii="Times New Roman"/>
          <w:b/>
          <w:i w:val="false"/>
          <w:color w:val="000000"/>
        </w:rPr>
        <w:t xml:space="preserve"> к Инструкции по организации, обеспечению функционирования и безопасности каналов передачи данных в интегрированной информационной системе Евразийского экономического союза</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 w:id="163"/>
    <w:p>
      <w:pPr>
        <w:spacing w:after="0"/>
        <w:ind w:left="0"/>
        <w:jc w:val="left"/>
      </w:pPr>
      <w:r>
        <w:rPr>
          <w:rFonts w:ascii="Times New Roman"/>
          <w:b/>
          <w:i w:val="false"/>
          <w:color w:val="000000"/>
        </w:rPr>
        <w:t xml:space="preserve"> ЖУРНАЛ</w:t>
      </w:r>
    </w:p>
    <w:bookmarkEnd w:id="163"/>
    <w:bookmarkStart w:name="z187" w:id="164"/>
    <w:p>
      <w:pPr>
        <w:spacing w:after="0"/>
        <w:ind w:left="0"/>
        <w:jc w:val="left"/>
      </w:pPr>
      <w:r>
        <w:rPr>
          <w:rFonts w:ascii="Times New Roman"/>
          <w:b/>
          <w:i w:val="false"/>
          <w:color w:val="000000"/>
        </w:rPr>
        <w:t xml:space="preserve"> поэкземплярного учета cредств криптографической защиты информации, эксплуатационной и технической документации на них, ключевых документов (для администратора защищенной сети передачи данных и участника защищенной сети передачи данных)</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СКЗИ, эксплуатационной и технической документации на них, ключевых документов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Серийные номера СКЗИ, эксплуатационной и технической документации на них ним, номера серий ключевых документов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экземпляров (криптографи-ческие номера) ключевых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выдаче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сопроводительного письма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пользователя СКЗИ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расписка в получении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подключении (установке) СКЗИ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изъятии СКЗИ из аппаратных средств, уничтожении ключевых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сотрудников органа криптографической защиты, пользователя СКЗИ, произведших подключение (установку)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подключения (установки) и подписи лиц, произведших подключение (установку)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аппаратных средств, в которые установлены или к которым подключены СКЗИ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изъятия (уничтожения)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сотрудников органа криптографической защиты, пользователя СКЗИ, производивших изъятие (уничтожение)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или расписка об уничтожении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